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2BC8E8">
      <w:pPr>
        <w:jc w:val="center"/>
        <w:rPr>
          <w:rFonts w:ascii="宋体" w:hAnsi="宋体" w:cs="宋体"/>
          <w:b/>
          <w:bCs/>
          <w:sz w:val="52"/>
          <w:szCs w:val="52"/>
        </w:rPr>
      </w:pPr>
      <w:bookmarkStart w:id="0" w:name="_Toc202539010"/>
    </w:p>
    <w:p w14:paraId="065BA084">
      <w:pPr>
        <w:rPr>
          <w:rFonts w:ascii="宋体" w:hAnsi="宋体" w:cs="宋体"/>
          <w:b/>
          <w:bCs/>
          <w:sz w:val="52"/>
          <w:szCs w:val="52"/>
        </w:rPr>
      </w:pPr>
    </w:p>
    <w:p w14:paraId="4ED172B1">
      <w:pPr>
        <w:jc w:val="center"/>
        <w:rPr>
          <w:rFonts w:ascii="宋体" w:hAnsi="宋体" w:cs="宋体"/>
          <w:b/>
          <w:bCs/>
          <w:sz w:val="52"/>
          <w:szCs w:val="52"/>
        </w:rPr>
      </w:pPr>
    </w:p>
    <w:p w14:paraId="6B7F2E34">
      <w:pPr>
        <w:jc w:val="center"/>
        <w:rPr>
          <w:rFonts w:ascii="宋体" w:hAnsi="宋体" w:cs="宋体"/>
          <w:b/>
          <w:bCs/>
          <w:sz w:val="52"/>
          <w:szCs w:val="52"/>
        </w:rPr>
      </w:pPr>
    </w:p>
    <w:p w14:paraId="0CE4BFF4">
      <w:pPr>
        <w:jc w:val="center"/>
        <w:rPr>
          <w:rFonts w:ascii="宋体" w:hAnsi="宋体" w:cs="宋体"/>
          <w:b/>
          <w:bCs/>
          <w:sz w:val="52"/>
          <w:szCs w:val="52"/>
        </w:rPr>
      </w:pPr>
      <w:r>
        <w:rPr>
          <w:rFonts w:hint="eastAsia" w:ascii="宋体" w:hAnsi="宋体" w:cs="宋体"/>
          <w:b/>
          <w:bCs/>
          <w:sz w:val="52"/>
          <w:szCs w:val="52"/>
        </w:rPr>
        <w:t>乌拉特前旗紧密型医共体信息化建设项目建设需求及技术要求</w:t>
      </w:r>
    </w:p>
    <w:p w14:paraId="7F261689"/>
    <w:p w14:paraId="6A2BD057"/>
    <w:p w14:paraId="7A770F78"/>
    <w:p w14:paraId="7AB4C196"/>
    <w:p w14:paraId="401D9983"/>
    <w:p w14:paraId="365667F7"/>
    <w:p w14:paraId="01B9560C">
      <w:pPr>
        <w:jc w:val="right"/>
        <w:rPr>
          <w:rFonts w:ascii="宋体" w:hAnsi="宋体" w:cs="宋体"/>
          <w:sz w:val="30"/>
          <w:szCs w:val="30"/>
        </w:rPr>
      </w:pPr>
      <w:r>
        <w:rPr>
          <w:rFonts w:hint="eastAsia" w:ascii="宋体" w:hAnsi="宋体" w:cs="宋体"/>
          <w:sz w:val="30"/>
          <w:szCs w:val="30"/>
        </w:rPr>
        <w:t>采购单位：乌拉特前旗人民医院（盖章）</w:t>
      </w:r>
    </w:p>
    <w:p w14:paraId="4123E1A1">
      <w:pPr>
        <w:jc w:val="right"/>
        <w:rPr>
          <w:rFonts w:ascii="宋体" w:hAnsi="宋体" w:cs="宋体"/>
          <w:sz w:val="30"/>
          <w:szCs w:val="30"/>
        </w:rPr>
      </w:pPr>
      <w:r>
        <w:rPr>
          <w:rFonts w:hint="eastAsia" w:ascii="宋体" w:hAnsi="宋体" w:cs="宋体"/>
          <w:sz w:val="30"/>
          <w:szCs w:val="30"/>
        </w:rPr>
        <w:t>2025年</w:t>
      </w:r>
      <w:r>
        <w:rPr>
          <w:rFonts w:hint="eastAsia" w:ascii="宋体" w:hAnsi="宋体" w:cs="宋体"/>
          <w:sz w:val="30"/>
          <w:szCs w:val="30"/>
          <w:lang w:val="en-US" w:eastAsia="zh-CN"/>
        </w:rPr>
        <w:t>10</w:t>
      </w:r>
      <w:r>
        <w:rPr>
          <w:rFonts w:hint="eastAsia" w:ascii="宋体" w:hAnsi="宋体" w:cs="宋体"/>
          <w:sz w:val="30"/>
          <w:szCs w:val="30"/>
        </w:rPr>
        <w:t>月</w:t>
      </w:r>
      <w:r>
        <w:rPr>
          <w:rFonts w:hint="eastAsia" w:ascii="宋体" w:hAnsi="宋体" w:cs="宋体"/>
          <w:sz w:val="30"/>
          <w:szCs w:val="30"/>
          <w:lang w:val="en-US" w:eastAsia="zh-CN"/>
        </w:rPr>
        <w:t>24</w:t>
      </w:r>
      <w:r>
        <w:rPr>
          <w:rFonts w:hint="eastAsia" w:ascii="宋体" w:hAnsi="宋体" w:cs="宋体"/>
          <w:sz w:val="30"/>
          <w:szCs w:val="30"/>
        </w:rPr>
        <w:t>日</w:t>
      </w:r>
    </w:p>
    <w:p w14:paraId="31139C75"/>
    <w:p w14:paraId="6A2C80DE">
      <w:pPr>
        <w:pStyle w:val="2"/>
        <w:numPr>
          <w:ilvl w:val="0"/>
          <w:numId w:val="0"/>
        </w:numPr>
      </w:pPr>
      <w:r>
        <w:rPr>
          <w:rFonts w:hint="eastAsia"/>
        </w:rPr>
        <w:t>一、项目概述</w:t>
      </w:r>
      <w:bookmarkEnd w:id="0"/>
    </w:p>
    <w:p w14:paraId="00152FD2">
      <w:pPr>
        <w:pStyle w:val="4"/>
        <w:numPr>
          <w:ilvl w:val="1"/>
          <w:numId w:val="10"/>
        </w:numPr>
        <w:rPr>
          <w:rFonts w:asciiTheme="minorEastAsia" w:hAnsiTheme="minorEastAsia" w:eastAsiaTheme="minorEastAsia"/>
        </w:rPr>
      </w:pPr>
      <w:bookmarkStart w:id="1" w:name="_Toc202539011"/>
      <w:r>
        <w:rPr>
          <w:rFonts w:hint="eastAsia" w:asciiTheme="minorEastAsia" w:hAnsiTheme="minorEastAsia" w:eastAsiaTheme="minorEastAsia"/>
        </w:rPr>
        <w:t>建设背景</w:t>
      </w:r>
      <w:bookmarkEnd w:id="1"/>
    </w:p>
    <w:p w14:paraId="7186E443">
      <w:pPr>
        <w:ind w:firstLine="480" w:firstLineChars="200"/>
        <w:rPr>
          <w:rFonts w:asciiTheme="minorEastAsia" w:hAnsiTheme="minorEastAsia" w:eastAsiaTheme="minorEastAsia"/>
        </w:rPr>
      </w:pPr>
      <w:r>
        <w:rPr>
          <w:rFonts w:hint="eastAsia" w:asciiTheme="minorEastAsia" w:hAnsiTheme="minorEastAsia" w:eastAsiaTheme="minorEastAsia"/>
        </w:rPr>
        <w:t xml:space="preserve">在全面推进健康中国建设的大背景下，医疗卫生领域的主要矛盾转化为人民日益增长的健康美好生活需要和医疗卫生发展不平衡不充分之间的矛盾。县域内存在优质医疗资源总量不足的问题，尤其医疗卫生服务供给结构性矛盾更为突出，城乡之间、不同层级医疗机构之间的资源配置在结构上不合理，分布不平衡。以人民健康为中心，以提升基层服务能力为重点，以构建优质高效的整合型医疗卫生服务体系为路径开展医共体建设，是新时代推动分级诊疗制度建设的重要举措，是深化医改的中药任务和卫生健康领域的重点工作。 </w:t>
      </w:r>
    </w:p>
    <w:p w14:paraId="3AAD796F">
      <w:pPr>
        <w:ind w:firstLine="480" w:firstLineChars="200"/>
        <w:rPr>
          <w:rFonts w:asciiTheme="minorEastAsia" w:hAnsiTheme="minorEastAsia" w:eastAsiaTheme="minorEastAsia"/>
        </w:rPr>
      </w:pPr>
      <w:r>
        <w:rPr>
          <w:rFonts w:hint="eastAsia" w:asciiTheme="minorEastAsia" w:hAnsiTheme="minorEastAsia" w:eastAsiaTheme="minorEastAsia"/>
        </w:rPr>
        <w:t xml:space="preserve">2017年4月，中共中央国务院发布《国务院办公厅关于推进医疗联合体建设和发展的指导意见》，明确在县域主要组建医疗共同体，推动优质医疗资源向基层和边远贫困地区流动。 </w:t>
      </w:r>
    </w:p>
    <w:p w14:paraId="3685CBC9">
      <w:pPr>
        <w:ind w:firstLine="480" w:firstLineChars="200"/>
        <w:rPr>
          <w:rFonts w:asciiTheme="minorEastAsia" w:hAnsiTheme="minorEastAsia" w:eastAsiaTheme="minorEastAsia"/>
        </w:rPr>
      </w:pPr>
      <w:r>
        <w:rPr>
          <w:rFonts w:hint="eastAsia" w:asciiTheme="minorEastAsia" w:hAnsiTheme="minorEastAsia" w:eastAsiaTheme="minorEastAsia"/>
        </w:rPr>
        <w:t xml:space="preserve">2018年7月，国家卫生健康委发布《医疗联合体综合绩效考核工作方案（试行）》指出进一步加强医联体绩效考核，规范医联体建设发展，调动医疗机构积极性。加强对医联体建设工作的统筹规划与指导，规范医联体建设与管理。 </w:t>
      </w:r>
    </w:p>
    <w:p w14:paraId="03F31775">
      <w:pPr>
        <w:ind w:firstLine="480" w:firstLineChars="200"/>
        <w:rPr>
          <w:rFonts w:asciiTheme="minorEastAsia" w:hAnsiTheme="minorEastAsia" w:eastAsiaTheme="minorEastAsia"/>
        </w:rPr>
      </w:pPr>
      <w:r>
        <w:rPr>
          <w:rFonts w:hint="eastAsia" w:asciiTheme="minorEastAsia" w:hAnsiTheme="minorEastAsia" w:eastAsiaTheme="minorEastAsia"/>
        </w:rPr>
        <w:t>2019年5月，国家卫生健康委基层卫生健康司发布了《关于推进紧密型县域医疗卫生共同体建设的通知》，提出通过建设紧密型医共体，进一步完善县域医疗卫生服务体系，提高县域医疗卫生资源配置和使用效率，加快提升基层医疗卫生服务能力，推动构建分级诊疗、合理诊治和有序就医的新秩序。同时贯彻落实“以人民健康为中心”的理念，为广大居民提供连续性、高质量的医疗卫生服务。</w:t>
      </w:r>
    </w:p>
    <w:p w14:paraId="363843F3">
      <w:pPr>
        <w:ind w:firstLine="480" w:firstLineChars="200"/>
        <w:rPr>
          <w:rFonts w:asciiTheme="minorEastAsia" w:hAnsiTheme="minorEastAsia" w:eastAsiaTheme="minorEastAsia"/>
        </w:rPr>
      </w:pPr>
      <w:r>
        <w:rPr>
          <w:rFonts w:hint="eastAsia" w:asciiTheme="minorEastAsia" w:hAnsiTheme="minorEastAsia" w:eastAsiaTheme="minorEastAsia"/>
        </w:rPr>
        <w:t xml:space="preserve">开展县域医共体建设，是深化医改的重要步骤和制度创新，有利于调整和优化医疗资源结构布局，促进医疗卫生工作重心下移和资源下沉，提升基层服务能力；有利于医疗资源上下贯通，提升医疗服务体系整体效能，更好实施分级诊疗和满足群众健康需求。 </w:t>
      </w:r>
    </w:p>
    <w:p w14:paraId="3B432F2E">
      <w:pPr>
        <w:ind w:firstLine="480" w:firstLineChars="200"/>
        <w:rPr>
          <w:rFonts w:asciiTheme="minorEastAsia" w:hAnsiTheme="minorEastAsia" w:eastAsiaTheme="minorEastAsia"/>
        </w:rPr>
      </w:pPr>
      <w:r>
        <w:rPr>
          <w:rFonts w:hint="eastAsia" w:asciiTheme="minorEastAsia" w:hAnsiTheme="minorEastAsia" w:eastAsiaTheme="minorEastAsia"/>
        </w:rPr>
        <w:t>为认真贯彻落实党中央、国务院关于深化医疗卫生体制改革精神,本指南在遵循国家医疗卫生信息化总体框架的前提之下，总结和分析各省市开展县域医共体信息化建设经验和教训，提出县域医共体信息化建设的总体思路、基本原则、业务架构、技术架构等，以指导基层县域医共体规范、科学、有效的推进信息化建设。</w:t>
      </w:r>
    </w:p>
    <w:p w14:paraId="547AC932">
      <w:pPr>
        <w:pStyle w:val="4"/>
      </w:pPr>
      <w:bookmarkStart w:id="2" w:name="_Toc202539016"/>
      <w:bookmarkStart w:id="3" w:name="_Toc169010584"/>
      <w:r>
        <w:rPr>
          <w:rFonts w:hint="eastAsia"/>
        </w:rPr>
        <w:t>建设目标</w:t>
      </w:r>
      <w:bookmarkEnd w:id="2"/>
      <w:bookmarkEnd w:id="3"/>
    </w:p>
    <w:p w14:paraId="032903D0">
      <w:pPr>
        <w:pStyle w:val="175"/>
        <w:ind w:firstLine="480"/>
      </w:pPr>
      <w:r>
        <w:rPr>
          <w:rFonts w:hint="eastAsia"/>
        </w:rPr>
        <w:t>本项目以乌拉特前旗人民医院为牵头医院，通过乌拉特前旗人民的信息系统覆盖4家社区服务中心，20家乡镇卫生院实现医共体建设。通过本项目建设，实现构建优质高效县域整合型医疗卫生健康服务体系，提升</w:t>
      </w:r>
      <w:r>
        <w:t>县域医疗服务能力，推进公立医院高质量改革</w:t>
      </w:r>
      <w:r>
        <w:rPr>
          <w:rFonts w:hint="eastAsia"/>
        </w:rPr>
        <w:t>。</w:t>
      </w:r>
    </w:p>
    <w:p w14:paraId="5A7FF455">
      <w:pPr>
        <w:pStyle w:val="4"/>
      </w:pPr>
      <w:r>
        <w:rPr>
          <w:rFonts w:hint="eastAsia"/>
        </w:rPr>
        <w:t>建设内容</w:t>
      </w:r>
    </w:p>
    <w:p w14:paraId="0FDA6176">
      <w:pPr>
        <w:pStyle w:val="3"/>
        <w:ind w:firstLine="0" w:firstLineChars="0"/>
        <w:rPr>
          <w:b/>
          <w:bCs/>
          <w:sz w:val="44"/>
          <w:szCs w:val="44"/>
        </w:rPr>
      </w:pPr>
      <w:r>
        <w:rPr>
          <w:rFonts w:hint="eastAsia"/>
          <w:b/>
          <w:bCs/>
          <w:sz w:val="44"/>
          <w:szCs w:val="44"/>
        </w:rPr>
        <w:t xml:space="preserve">一、软件建设清单           </w:t>
      </w:r>
    </w:p>
    <w:tbl>
      <w:tblPr>
        <w:tblStyle w:val="42"/>
        <w:tblW w:w="9765" w:type="dxa"/>
        <w:tblInd w:w="-567" w:type="dxa"/>
        <w:tblLayout w:type="fixed"/>
        <w:tblCellMar>
          <w:top w:w="0" w:type="dxa"/>
          <w:left w:w="108" w:type="dxa"/>
          <w:bottom w:w="0" w:type="dxa"/>
          <w:right w:w="108" w:type="dxa"/>
        </w:tblCellMar>
      </w:tblPr>
      <w:tblGrid>
        <w:gridCol w:w="585"/>
        <w:gridCol w:w="1215"/>
        <w:gridCol w:w="2115"/>
        <w:gridCol w:w="615"/>
        <w:gridCol w:w="645"/>
        <w:gridCol w:w="2528"/>
        <w:gridCol w:w="1297"/>
        <w:gridCol w:w="765"/>
      </w:tblGrid>
      <w:tr w14:paraId="42FA87F5">
        <w:tblPrEx>
          <w:tblCellMar>
            <w:top w:w="0" w:type="dxa"/>
            <w:left w:w="108" w:type="dxa"/>
            <w:bottom w:w="0" w:type="dxa"/>
            <w:right w:w="108" w:type="dxa"/>
          </w:tblCellMar>
        </w:tblPrEx>
        <w:trPr>
          <w:trHeight w:val="340" w:hRule="atLeast"/>
        </w:trPr>
        <w:tc>
          <w:tcPr>
            <w:tcW w:w="585" w:type="dxa"/>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14:paraId="10AFC709">
            <w:pPr>
              <w:widowControl/>
              <w:spacing w:line="240" w:lineRule="auto"/>
              <w:jc w:val="left"/>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序号</w:t>
            </w:r>
          </w:p>
        </w:tc>
        <w:tc>
          <w:tcPr>
            <w:tcW w:w="1215"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3E14254D">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软件分类</w:t>
            </w:r>
          </w:p>
        </w:tc>
        <w:tc>
          <w:tcPr>
            <w:tcW w:w="2115"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45396C7D">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系统名称</w:t>
            </w:r>
          </w:p>
        </w:tc>
        <w:tc>
          <w:tcPr>
            <w:tcW w:w="615" w:type="dxa"/>
            <w:tcBorders>
              <w:top w:val="single" w:color="auto" w:sz="4" w:space="0"/>
              <w:left w:val="nil"/>
              <w:bottom w:val="single" w:color="auto" w:sz="4" w:space="0"/>
              <w:right w:val="single" w:color="auto" w:sz="4" w:space="0"/>
            </w:tcBorders>
            <w:shd w:val="clear" w:color="auto" w:fill="F1F1F1" w:themeFill="background1" w:themeFillShade="F2"/>
            <w:vAlign w:val="center"/>
          </w:tcPr>
          <w:p w14:paraId="746D35C3">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数量</w:t>
            </w:r>
          </w:p>
        </w:tc>
        <w:tc>
          <w:tcPr>
            <w:tcW w:w="645" w:type="dxa"/>
            <w:tcBorders>
              <w:top w:val="single" w:color="auto" w:sz="4" w:space="0"/>
              <w:left w:val="nil"/>
              <w:bottom w:val="single" w:color="auto" w:sz="4" w:space="0"/>
              <w:right w:val="single" w:color="auto" w:sz="4" w:space="0"/>
            </w:tcBorders>
            <w:shd w:val="clear" w:color="auto" w:fill="F1F1F1" w:themeFill="background1" w:themeFillShade="F2"/>
            <w:vAlign w:val="center"/>
          </w:tcPr>
          <w:p w14:paraId="71ADD78D">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单位</w:t>
            </w:r>
          </w:p>
        </w:tc>
        <w:tc>
          <w:tcPr>
            <w:tcW w:w="2528" w:type="dxa"/>
            <w:tcBorders>
              <w:top w:val="single" w:color="auto" w:sz="4" w:space="0"/>
              <w:left w:val="nil"/>
              <w:bottom w:val="single" w:color="auto" w:sz="4" w:space="0"/>
              <w:right w:val="single" w:color="auto" w:sz="4" w:space="0"/>
            </w:tcBorders>
            <w:shd w:val="clear" w:color="auto" w:fill="F1F1F1" w:themeFill="background1" w:themeFillShade="F2"/>
            <w:vAlign w:val="center"/>
          </w:tcPr>
          <w:p w14:paraId="26C76BCC">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范围</w:t>
            </w:r>
          </w:p>
        </w:tc>
        <w:tc>
          <w:tcPr>
            <w:tcW w:w="1297" w:type="dxa"/>
            <w:tcBorders>
              <w:top w:val="single" w:color="auto" w:sz="4" w:space="0"/>
              <w:left w:val="nil"/>
              <w:bottom w:val="single" w:color="auto" w:sz="4" w:space="0"/>
              <w:right w:val="single" w:color="auto" w:sz="4" w:space="0"/>
            </w:tcBorders>
            <w:shd w:val="clear" w:color="auto" w:fill="F1F1F1" w:themeFill="background1" w:themeFillShade="F2"/>
            <w:vAlign w:val="center"/>
          </w:tcPr>
          <w:p w14:paraId="1A2FE919">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技术</w:t>
            </w:r>
          </w:p>
          <w:p w14:paraId="2F32BFC7">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要求</w:t>
            </w:r>
          </w:p>
        </w:tc>
        <w:tc>
          <w:tcPr>
            <w:tcW w:w="765" w:type="dxa"/>
            <w:tcBorders>
              <w:top w:val="single" w:color="auto" w:sz="4" w:space="0"/>
              <w:left w:val="nil"/>
              <w:bottom w:val="single" w:color="auto" w:sz="4" w:space="0"/>
              <w:right w:val="single" w:color="auto" w:sz="4" w:space="0"/>
            </w:tcBorders>
            <w:shd w:val="clear" w:color="auto" w:fill="F1F1F1" w:themeFill="background1" w:themeFillShade="F2"/>
            <w:vAlign w:val="center"/>
          </w:tcPr>
          <w:p w14:paraId="5FE808B3">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备注</w:t>
            </w:r>
          </w:p>
        </w:tc>
      </w:tr>
      <w:tr w14:paraId="2E2CBBA0">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1AC76D98">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restart"/>
            <w:tcBorders>
              <w:top w:val="nil"/>
              <w:left w:val="single" w:color="auto" w:sz="4" w:space="0"/>
              <w:bottom w:val="single" w:color="auto" w:sz="4" w:space="0"/>
              <w:right w:val="single" w:color="auto" w:sz="4" w:space="0"/>
            </w:tcBorders>
            <w:shd w:val="clear" w:color="auto" w:fill="auto"/>
            <w:vAlign w:val="center"/>
          </w:tcPr>
          <w:p w14:paraId="14D83A3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医共体信息平台</w:t>
            </w:r>
          </w:p>
        </w:tc>
        <w:tc>
          <w:tcPr>
            <w:tcW w:w="2115" w:type="dxa"/>
            <w:tcBorders>
              <w:top w:val="nil"/>
              <w:left w:val="nil"/>
              <w:bottom w:val="single" w:color="auto" w:sz="4" w:space="0"/>
              <w:right w:val="single" w:color="auto" w:sz="4" w:space="0"/>
            </w:tcBorders>
            <w:shd w:val="clear" w:color="auto" w:fill="auto"/>
            <w:vAlign w:val="center"/>
          </w:tcPr>
          <w:p w14:paraId="7CC49A7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医共体数据中心</w:t>
            </w:r>
          </w:p>
        </w:tc>
        <w:tc>
          <w:tcPr>
            <w:tcW w:w="615" w:type="dxa"/>
            <w:tcBorders>
              <w:top w:val="nil"/>
              <w:left w:val="nil"/>
              <w:bottom w:val="single" w:color="auto" w:sz="4" w:space="0"/>
              <w:right w:val="single" w:color="auto" w:sz="4" w:space="0"/>
            </w:tcBorders>
            <w:shd w:val="clear" w:color="auto" w:fill="auto"/>
            <w:noWrap/>
            <w:vAlign w:val="center"/>
          </w:tcPr>
          <w:p w14:paraId="59809BF6">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232AEFF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vMerge w:val="restart"/>
            <w:tcBorders>
              <w:top w:val="nil"/>
              <w:left w:val="single" w:color="auto" w:sz="4" w:space="0"/>
              <w:bottom w:val="single" w:color="000000" w:sz="4" w:space="0"/>
              <w:right w:val="single" w:color="auto" w:sz="4" w:space="0"/>
            </w:tcBorders>
            <w:shd w:val="clear" w:color="auto" w:fill="auto"/>
            <w:vAlign w:val="center"/>
          </w:tcPr>
          <w:p w14:paraId="2AE0A156">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乌拉特前旗人民医院、乌拉特前旗中蒙医院、乌拉特前旗妇幼保健计划生育服务中心、4家社区服务中心，20家乡镇卫生院</w:t>
            </w:r>
          </w:p>
        </w:tc>
        <w:tc>
          <w:tcPr>
            <w:tcW w:w="1297" w:type="dxa"/>
            <w:vMerge w:val="restart"/>
            <w:tcBorders>
              <w:top w:val="nil"/>
              <w:left w:val="single" w:color="auto" w:sz="4" w:space="0"/>
              <w:right w:val="single" w:color="auto" w:sz="4" w:space="0"/>
            </w:tcBorders>
            <w:vAlign w:val="center"/>
          </w:tcPr>
          <w:p w14:paraId="0C657E0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765" w:type="dxa"/>
            <w:vMerge w:val="restart"/>
            <w:tcBorders>
              <w:top w:val="nil"/>
              <w:left w:val="single" w:color="auto" w:sz="4" w:space="0"/>
              <w:right w:val="single" w:color="auto" w:sz="4" w:space="0"/>
            </w:tcBorders>
            <w:vAlign w:val="center"/>
          </w:tcPr>
          <w:p w14:paraId="354D8123">
            <w:pPr>
              <w:widowControl/>
              <w:spacing w:line="240" w:lineRule="auto"/>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升级</w:t>
            </w:r>
          </w:p>
        </w:tc>
      </w:tr>
      <w:tr w14:paraId="3EF38DC8">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30B193C2">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5607729D">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77BB734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医共体数据管理</w:t>
            </w:r>
          </w:p>
        </w:tc>
        <w:tc>
          <w:tcPr>
            <w:tcW w:w="615" w:type="dxa"/>
            <w:tcBorders>
              <w:top w:val="nil"/>
              <w:left w:val="nil"/>
              <w:bottom w:val="single" w:color="auto" w:sz="4" w:space="0"/>
              <w:right w:val="single" w:color="auto" w:sz="4" w:space="0"/>
            </w:tcBorders>
            <w:shd w:val="clear" w:color="auto" w:fill="auto"/>
            <w:noWrap/>
            <w:vAlign w:val="center"/>
          </w:tcPr>
          <w:p w14:paraId="74146E8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5C4C8F34">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vMerge w:val="continue"/>
            <w:tcBorders>
              <w:top w:val="nil"/>
              <w:left w:val="single" w:color="auto" w:sz="4" w:space="0"/>
              <w:bottom w:val="single" w:color="000000" w:sz="4" w:space="0"/>
              <w:right w:val="single" w:color="auto" w:sz="4" w:space="0"/>
            </w:tcBorders>
            <w:vAlign w:val="center"/>
          </w:tcPr>
          <w:p w14:paraId="1A94A6E9">
            <w:pPr>
              <w:widowControl/>
              <w:spacing w:line="240" w:lineRule="auto"/>
              <w:jc w:val="left"/>
              <w:rPr>
                <w:rFonts w:cs="宋体" w:asciiTheme="minorEastAsia" w:hAnsiTheme="minorEastAsia" w:eastAsiaTheme="minorEastAsia"/>
                <w:color w:val="000000"/>
                <w:kern w:val="0"/>
                <w:szCs w:val="24"/>
              </w:rPr>
            </w:pPr>
          </w:p>
        </w:tc>
        <w:tc>
          <w:tcPr>
            <w:tcW w:w="1297" w:type="dxa"/>
            <w:vMerge w:val="continue"/>
            <w:tcBorders>
              <w:left w:val="single" w:color="auto" w:sz="4" w:space="0"/>
              <w:right w:val="single" w:color="auto" w:sz="4" w:space="0"/>
            </w:tcBorders>
            <w:vAlign w:val="center"/>
          </w:tcPr>
          <w:p w14:paraId="246CF430">
            <w:pPr>
              <w:widowControl/>
              <w:spacing w:line="240" w:lineRule="auto"/>
              <w:jc w:val="left"/>
              <w:rPr>
                <w:rFonts w:cs="宋体" w:asciiTheme="minorEastAsia" w:hAnsiTheme="minorEastAsia" w:eastAsiaTheme="minorEastAsia"/>
                <w:color w:val="000000"/>
                <w:kern w:val="0"/>
                <w:szCs w:val="24"/>
              </w:rPr>
            </w:pPr>
          </w:p>
        </w:tc>
        <w:tc>
          <w:tcPr>
            <w:tcW w:w="765" w:type="dxa"/>
            <w:vMerge w:val="continue"/>
            <w:tcBorders>
              <w:left w:val="single" w:color="auto" w:sz="4" w:space="0"/>
              <w:right w:val="single" w:color="auto" w:sz="4" w:space="0"/>
            </w:tcBorders>
            <w:vAlign w:val="center"/>
          </w:tcPr>
          <w:p w14:paraId="4CFD170F">
            <w:pPr>
              <w:widowControl/>
              <w:spacing w:line="240" w:lineRule="auto"/>
              <w:jc w:val="left"/>
              <w:rPr>
                <w:rFonts w:cs="宋体" w:asciiTheme="minorEastAsia" w:hAnsiTheme="minorEastAsia" w:eastAsiaTheme="minorEastAsia"/>
                <w:color w:val="000000"/>
                <w:kern w:val="0"/>
                <w:szCs w:val="24"/>
              </w:rPr>
            </w:pPr>
          </w:p>
        </w:tc>
      </w:tr>
      <w:tr w14:paraId="75EADB74">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10449155">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5C522C50">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1765491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基础服务平台</w:t>
            </w:r>
          </w:p>
        </w:tc>
        <w:tc>
          <w:tcPr>
            <w:tcW w:w="615" w:type="dxa"/>
            <w:tcBorders>
              <w:top w:val="nil"/>
              <w:left w:val="nil"/>
              <w:bottom w:val="single" w:color="auto" w:sz="4" w:space="0"/>
              <w:right w:val="single" w:color="auto" w:sz="4" w:space="0"/>
            </w:tcBorders>
            <w:shd w:val="clear" w:color="auto" w:fill="auto"/>
            <w:noWrap/>
            <w:vAlign w:val="center"/>
          </w:tcPr>
          <w:p w14:paraId="4588933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50924B8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vMerge w:val="continue"/>
            <w:tcBorders>
              <w:top w:val="nil"/>
              <w:left w:val="single" w:color="auto" w:sz="4" w:space="0"/>
              <w:bottom w:val="single" w:color="000000" w:sz="4" w:space="0"/>
              <w:right w:val="single" w:color="auto" w:sz="4" w:space="0"/>
            </w:tcBorders>
            <w:vAlign w:val="center"/>
          </w:tcPr>
          <w:p w14:paraId="60D890F6">
            <w:pPr>
              <w:widowControl/>
              <w:spacing w:line="240" w:lineRule="auto"/>
              <w:jc w:val="left"/>
              <w:rPr>
                <w:rFonts w:cs="宋体" w:asciiTheme="minorEastAsia" w:hAnsiTheme="minorEastAsia" w:eastAsiaTheme="minorEastAsia"/>
                <w:color w:val="000000"/>
                <w:kern w:val="0"/>
                <w:szCs w:val="24"/>
              </w:rPr>
            </w:pPr>
          </w:p>
        </w:tc>
        <w:tc>
          <w:tcPr>
            <w:tcW w:w="1297" w:type="dxa"/>
            <w:vMerge w:val="continue"/>
            <w:tcBorders>
              <w:left w:val="single" w:color="auto" w:sz="4" w:space="0"/>
              <w:right w:val="single" w:color="auto" w:sz="4" w:space="0"/>
            </w:tcBorders>
            <w:vAlign w:val="center"/>
          </w:tcPr>
          <w:p w14:paraId="43D9B395">
            <w:pPr>
              <w:widowControl/>
              <w:spacing w:line="240" w:lineRule="auto"/>
              <w:jc w:val="left"/>
              <w:rPr>
                <w:rFonts w:cs="宋体" w:asciiTheme="minorEastAsia" w:hAnsiTheme="minorEastAsia" w:eastAsiaTheme="minorEastAsia"/>
                <w:color w:val="000000"/>
                <w:kern w:val="0"/>
                <w:szCs w:val="24"/>
              </w:rPr>
            </w:pPr>
          </w:p>
        </w:tc>
        <w:tc>
          <w:tcPr>
            <w:tcW w:w="765" w:type="dxa"/>
            <w:vMerge w:val="continue"/>
            <w:tcBorders>
              <w:left w:val="single" w:color="auto" w:sz="4" w:space="0"/>
              <w:right w:val="single" w:color="auto" w:sz="4" w:space="0"/>
            </w:tcBorders>
            <w:vAlign w:val="center"/>
          </w:tcPr>
          <w:p w14:paraId="610D6015">
            <w:pPr>
              <w:widowControl/>
              <w:spacing w:line="240" w:lineRule="auto"/>
              <w:jc w:val="left"/>
              <w:rPr>
                <w:rFonts w:cs="宋体" w:asciiTheme="minorEastAsia" w:hAnsiTheme="minorEastAsia" w:eastAsiaTheme="minorEastAsia"/>
                <w:color w:val="000000"/>
                <w:kern w:val="0"/>
                <w:szCs w:val="24"/>
              </w:rPr>
            </w:pPr>
          </w:p>
        </w:tc>
      </w:tr>
      <w:tr w14:paraId="447869DF">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45A58620">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6B69E8B8">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3623B735">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统一运维平台</w:t>
            </w:r>
          </w:p>
        </w:tc>
        <w:tc>
          <w:tcPr>
            <w:tcW w:w="615" w:type="dxa"/>
            <w:tcBorders>
              <w:top w:val="nil"/>
              <w:left w:val="nil"/>
              <w:bottom w:val="single" w:color="auto" w:sz="4" w:space="0"/>
              <w:right w:val="single" w:color="auto" w:sz="4" w:space="0"/>
            </w:tcBorders>
            <w:shd w:val="clear" w:color="auto" w:fill="auto"/>
            <w:noWrap/>
            <w:vAlign w:val="center"/>
          </w:tcPr>
          <w:p w14:paraId="43ABB98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4DE32BB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vMerge w:val="continue"/>
            <w:tcBorders>
              <w:top w:val="nil"/>
              <w:left w:val="single" w:color="auto" w:sz="4" w:space="0"/>
              <w:bottom w:val="single" w:color="000000" w:sz="4" w:space="0"/>
              <w:right w:val="single" w:color="auto" w:sz="4" w:space="0"/>
            </w:tcBorders>
            <w:vAlign w:val="center"/>
          </w:tcPr>
          <w:p w14:paraId="24F6D475">
            <w:pPr>
              <w:widowControl/>
              <w:spacing w:line="240" w:lineRule="auto"/>
              <w:jc w:val="left"/>
              <w:rPr>
                <w:rFonts w:cs="宋体" w:asciiTheme="minorEastAsia" w:hAnsiTheme="minorEastAsia" w:eastAsiaTheme="minorEastAsia"/>
                <w:color w:val="000000"/>
                <w:kern w:val="0"/>
                <w:szCs w:val="24"/>
              </w:rPr>
            </w:pPr>
          </w:p>
        </w:tc>
        <w:tc>
          <w:tcPr>
            <w:tcW w:w="1297" w:type="dxa"/>
            <w:vMerge w:val="continue"/>
            <w:tcBorders>
              <w:left w:val="single" w:color="auto" w:sz="4" w:space="0"/>
              <w:bottom w:val="single" w:color="000000" w:sz="4" w:space="0"/>
              <w:right w:val="single" w:color="auto" w:sz="4" w:space="0"/>
            </w:tcBorders>
            <w:vAlign w:val="center"/>
          </w:tcPr>
          <w:p w14:paraId="386D4FF0">
            <w:pPr>
              <w:widowControl/>
              <w:spacing w:line="240" w:lineRule="auto"/>
              <w:jc w:val="left"/>
              <w:rPr>
                <w:rFonts w:cs="宋体" w:asciiTheme="minorEastAsia" w:hAnsiTheme="minorEastAsia" w:eastAsiaTheme="minorEastAsia"/>
                <w:color w:val="000000"/>
                <w:kern w:val="0"/>
                <w:szCs w:val="24"/>
              </w:rPr>
            </w:pPr>
          </w:p>
        </w:tc>
        <w:tc>
          <w:tcPr>
            <w:tcW w:w="765" w:type="dxa"/>
            <w:vMerge w:val="continue"/>
            <w:tcBorders>
              <w:left w:val="single" w:color="auto" w:sz="4" w:space="0"/>
              <w:bottom w:val="single" w:color="000000" w:sz="4" w:space="0"/>
              <w:right w:val="single" w:color="auto" w:sz="4" w:space="0"/>
            </w:tcBorders>
            <w:vAlign w:val="center"/>
          </w:tcPr>
          <w:p w14:paraId="3176E2B0">
            <w:pPr>
              <w:widowControl/>
              <w:spacing w:line="240" w:lineRule="auto"/>
              <w:jc w:val="left"/>
              <w:rPr>
                <w:rFonts w:cs="宋体" w:asciiTheme="minorEastAsia" w:hAnsiTheme="minorEastAsia" w:eastAsiaTheme="minorEastAsia"/>
                <w:color w:val="000000"/>
                <w:kern w:val="0"/>
                <w:szCs w:val="24"/>
              </w:rPr>
            </w:pPr>
          </w:p>
        </w:tc>
      </w:tr>
      <w:tr w14:paraId="3EECBC8E">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6BD45AFF">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restart"/>
            <w:tcBorders>
              <w:top w:val="nil"/>
              <w:left w:val="single" w:color="auto" w:sz="4" w:space="0"/>
              <w:bottom w:val="single" w:color="auto" w:sz="4" w:space="0"/>
              <w:right w:val="single" w:color="auto" w:sz="4" w:space="0"/>
            </w:tcBorders>
            <w:shd w:val="clear" w:color="auto" w:fill="auto"/>
            <w:vAlign w:val="center"/>
          </w:tcPr>
          <w:p w14:paraId="54B287B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一体化资源中心</w:t>
            </w:r>
          </w:p>
        </w:tc>
        <w:tc>
          <w:tcPr>
            <w:tcW w:w="2115" w:type="dxa"/>
            <w:tcBorders>
              <w:top w:val="nil"/>
              <w:left w:val="nil"/>
              <w:bottom w:val="single" w:color="auto" w:sz="4" w:space="0"/>
              <w:right w:val="single" w:color="auto" w:sz="4" w:space="0"/>
            </w:tcBorders>
            <w:shd w:val="clear" w:color="auto" w:fill="auto"/>
            <w:vAlign w:val="center"/>
          </w:tcPr>
          <w:p w14:paraId="3C6798B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区域影像诊断中心</w:t>
            </w:r>
          </w:p>
        </w:tc>
        <w:tc>
          <w:tcPr>
            <w:tcW w:w="615" w:type="dxa"/>
            <w:tcBorders>
              <w:top w:val="nil"/>
              <w:left w:val="nil"/>
              <w:bottom w:val="single" w:color="auto" w:sz="4" w:space="0"/>
              <w:right w:val="single" w:color="auto" w:sz="4" w:space="0"/>
            </w:tcBorders>
            <w:shd w:val="clear" w:color="auto" w:fill="auto"/>
            <w:noWrap/>
            <w:vAlign w:val="center"/>
          </w:tcPr>
          <w:p w14:paraId="12F31D6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7331588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vMerge w:val="restart"/>
            <w:tcBorders>
              <w:top w:val="nil"/>
              <w:left w:val="single" w:color="auto" w:sz="4" w:space="0"/>
              <w:bottom w:val="single" w:color="000000" w:sz="4" w:space="0"/>
              <w:right w:val="single" w:color="auto" w:sz="4" w:space="0"/>
            </w:tcBorders>
            <w:shd w:val="clear" w:color="auto" w:fill="auto"/>
            <w:vAlign w:val="center"/>
          </w:tcPr>
          <w:p w14:paraId="2347ABF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 xml:space="preserve"> 乌拉特前旗人民医院、乌拉特前旗中蒙医院、乌拉特前旗妇幼保健计划生育服务中心、4家社区服务中心，20家乡镇卫生院</w:t>
            </w:r>
          </w:p>
        </w:tc>
        <w:tc>
          <w:tcPr>
            <w:tcW w:w="1297" w:type="dxa"/>
            <w:vMerge w:val="restart"/>
            <w:tcBorders>
              <w:top w:val="nil"/>
              <w:left w:val="single" w:color="auto" w:sz="4" w:space="0"/>
              <w:right w:val="single" w:color="auto" w:sz="4" w:space="0"/>
            </w:tcBorders>
            <w:vAlign w:val="center"/>
          </w:tcPr>
          <w:p w14:paraId="0E7F3D9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765" w:type="dxa"/>
            <w:tcBorders>
              <w:top w:val="nil"/>
              <w:left w:val="single" w:color="auto" w:sz="4" w:space="0"/>
              <w:bottom w:val="single" w:color="000000" w:sz="4" w:space="0"/>
              <w:right w:val="single" w:color="auto" w:sz="4" w:space="0"/>
            </w:tcBorders>
            <w:vAlign w:val="center"/>
          </w:tcPr>
          <w:p w14:paraId="68753EA6">
            <w:pPr>
              <w:widowControl/>
              <w:spacing w:line="240" w:lineRule="auto"/>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升级</w:t>
            </w:r>
          </w:p>
        </w:tc>
      </w:tr>
      <w:tr w14:paraId="7DA0DDCB">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238EBDE5">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01026F69">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1F850DF0">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区域病理诊断中心</w:t>
            </w:r>
          </w:p>
        </w:tc>
        <w:tc>
          <w:tcPr>
            <w:tcW w:w="615" w:type="dxa"/>
            <w:tcBorders>
              <w:top w:val="nil"/>
              <w:left w:val="nil"/>
              <w:bottom w:val="single" w:color="auto" w:sz="4" w:space="0"/>
              <w:right w:val="single" w:color="auto" w:sz="4" w:space="0"/>
            </w:tcBorders>
            <w:shd w:val="clear" w:color="auto" w:fill="auto"/>
            <w:noWrap/>
            <w:vAlign w:val="center"/>
          </w:tcPr>
          <w:p w14:paraId="485E5B8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29104ED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vMerge w:val="continue"/>
            <w:tcBorders>
              <w:top w:val="nil"/>
              <w:left w:val="single" w:color="auto" w:sz="4" w:space="0"/>
              <w:bottom w:val="single" w:color="000000" w:sz="4" w:space="0"/>
              <w:right w:val="single" w:color="auto" w:sz="4" w:space="0"/>
            </w:tcBorders>
            <w:vAlign w:val="center"/>
          </w:tcPr>
          <w:p w14:paraId="7853FB48">
            <w:pPr>
              <w:widowControl/>
              <w:spacing w:line="240" w:lineRule="auto"/>
              <w:jc w:val="left"/>
              <w:rPr>
                <w:rFonts w:cs="宋体" w:asciiTheme="minorEastAsia" w:hAnsiTheme="minorEastAsia" w:eastAsiaTheme="minorEastAsia"/>
                <w:color w:val="000000"/>
                <w:kern w:val="0"/>
                <w:szCs w:val="24"/>
              </w:rPr>
            </w:pPr>
          </w:p>
        </w:tc>
        <w:tc>
          <w:tcPr>
            <w:tcW w:w="1297" w:type="dxa"/>
            <w:vMerge w:val="continue"/>
            <w:tcBorders>
              <w:left w:val="single" w:color="auto" w:sz="4" w:space="0"/>
              <w:right w:val="single" w:color="auto" w:sz="4" w:space="0"/>
            </w:tcBorders>
            <w:vAlign w:val="center"/>
          </w:tcPr>
          <w:p w14:paraId="563896E9">
            <w:pPr>
              <w:widowControl/>
              <w:spacing w:line="240" w:lineRule="auto"/>
              <w:jc w:val="left"/>
              <w:rPr>
                <w:rFonts w:cs="宋体" w:asciiTheme="minorEastAsia" w:hAnsiTheme="minorEastAsia" w:eastAsiaTheme="minorEastAsia"/>
                <w:color w:val="000000"/>
                <w:kern w:val="0"/>
                <w:szCs w:val="24"/>
              </w:rPr>
            </w:pPr>
          </w:p>
        </w:tc>
        <w:tc>
          <w:tcPr>
            <w:tcW w:w="765" w:type="dxa"/>
            <w:tcBorders>
              <w:top w:val="nil"/>
              <w:left w:val="single" w:color="auto" w:sz="4" w:space="0"/>
              <w:bottom w:val="single" w:color="000000" w:sz="4" w:space="0"/>
              <w:right w:val="single" w:color="auto" w:sz="4" w:space="0"/>
            </w:tcBorders>
            <w:vAlign w:val="center"/>
          </w:tcPr>
          <w:p w14:paraId="490DCBD6">
            <w:pPr>
              <w:widowControl/>
              <w:spacing w:line="240" w:lineRule="auto"/>
              <w:jc w:val="lef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升级</w:t>
            </w:r>
          </w:p>
        </w:tc>
      </w:tr>
      <w:tr w14:paraId="55C0F8EB">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32EA526D">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1363F723">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64ABAC8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区域心电诊断中心</w:t>
            </w:r>
          </w:p>
        </w:tc>
        <w:tc>
          <w:tcPr>
            <w:tcW w:w="615" w:type="dxa"/>
            <w:tcBorders>
              <w:top w:val="nil"/>
              <w:left w:val="nil"/>
              <w:bottom w:val="single" w:color="auto" w:sz="4" w:space="0"/>
              <w:right w:val="single" w:color="auto" w:sz="4" w:space="0"/>
            </w:tcBorders>
            <w:shd w:val="clear" w:color="auto" w:fill="auto"/>
            <w:noWrap/>
            <w:vAlign w:val="center"/>
          </w:tcPr>
          <w:p w14:paraId="1137DD8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497A072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vMerge w:val="continue"/>
            <w:tcBorders>
              <w:top w:val="nil"/>
              <w:left w:val="single" w:color="auto" w:sz="4" w:space="0"/>
              <w:bottom w:val="single" w:color="000000" w:sz="4" w:space="0"/>
              <w:right w:val="single" w:color="auto" w:sz="4" w:space="0"/>
            </w:tcBorders>
            <w:vAlign w:val="center"/>
          </w:tcPr>
          <w:p w14:paraId="72F875D6">
            <w:pPr>
              <w:widowControl/>
              <w:spacing w:line="240" w:lineRule="auto"/>
              <w:jc w:val="left"/>
              <w:rPr>
                <w:rFonts w:cs="宋体" w:asciiTheme="minorEastAsia" w:hAnsiTheme="minorEastAsia" w:eastAsiaTheme="minorEastAsia"/>
                <w:color w:val="000000"/>
                <w:kern w:val="0"/>
                <w:szCs w:val="24"/>
              </w:rPr>
            </w:pPr>
          </w:p>
        </w:tc>
        <w:tc>
          <w:tcPr>
            <w:tcW w:w="1297" w:type="dxa"/>
            <w:vMerge w:val="continue"/>
            <w:tcBorders>
              <w:left w:val="single" w:color="auto" w:sz="4" w:space="0"/>
              <w:right w:val="single" w:color="auto" w:sz="4" w:space="0"/>
            </w:tcBorders>
            <w:vAlign w:val="center"/>
          </w:tcPr>
          <w:p w14:paraId="4A36374D">
            <w:pPr>
              <w:widowControl/>
              <w:spacing w:line="240" w:lineRule="auto"/>
              <w:jc w:val="left"/>
              <w:rPr>
                <w:rFonts w:cs="宋体" w:asciiTheme="minorEastAsia" w:hAnsiTheme="minorEastAsia" w:eastAsiaTheme="minorEastAsia"/>
                <w:color w:val="000000"/>
                <w:kern w:val="0"/>
                <w:szCs w:val="24"/>
              </w:rPr>
            </w:pPr>
          </w:p>
        </w:tc>
        <w:tc>
          <w:tcPr>
            <w:tcW w:w="765" w:type="dxa"/>
            <w:tcBorders>
              <w:top w:val="nil"/>
              <w:left w:val="single" w:color="auto" w:sz="4" w:space="0"/>
              <w:bottom w:val="single" w:color="000000" w:sz="4" w:space="0"/>
              <w:right w:val="single" w:color="auto" w:sz="4" w:space="0"/>
            </w:tcBorders>
            <w:vAlign w:val="center"/>
          </w:tcPr>
          <w:p w14:paraId="277A208B">
            <w:pPr>
              <w:widowControl/>
              <w:spacing w:line="240" w:lineRule="auto"/>
              <w:jc w:val="lef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新建</w:t>
            </w:r>
          </w:p>
        </w:tc>
      </w:tr>
      <w:tr w14:paraId="673D5E1F">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1200A8E3">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78ABC2DE">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03524B9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区域医学检验中心</w:t>
            </w:r>
          </w:p>
        </w:tc>
        <w:tc>
          <w:tcPr>
            <w:tcW w:w="615" w:type="dxa"/>
            <w:tcBorders>
              <w:top w:val="nil"/>
              <w:left w:val="nil"/>
              <w:bottom w:val="single" w:color="auto" w:sz="4" w:space="0"/>
              <w:right w:val="single" w:color="auto" w:sz="4" w:space="0"/>
            </w:tcBorders>
            <w:shd w:val="clear" w:color="auto" w:fill="auto"/>
            <w:noWrap/>
            <w:vAlign w:val="center"/>
          </w:tcPr>
          <w:p w14:paraId="289EE64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0D18BCA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vMerge w:val="continue"/>
            <w:tcBorders>
              <w:top w:val="nil"/>
              <w:left w:val="single" w:color="auto" w:sz="4" w:space="0"/>
              <w:bottom w:val="single" w:color="000000" w:sz="4" w:space="0"/>
              <w:right w:val="single" w:color="auto" w:sz="4" w:space="0"/>
            </w:tcBorders>
            <w:vAlign w:val="center"/>
          </w:tcPr>
          <w:p w14:paraId="363FF01A">
            <w:pPr>
              <w:widowControl/>
              <w:spacing w:line="240" w:lineRule="auto"/>
              <w:jc w:val="left"/>
              <w:rPr>
                <w:rFonts w:cs="宋体" w:asciiTheme="minorEastAsia" w:hAnsiTheme="minorEastAsia" w:eastAsiaTheme="minorEastAsia"/>
                <w:color w:val="000000"/>
                <w:kern w:val="0"/>
                <w:szCs w:val="24"/>
              </w:rPr>
            </w:pPr>
          </w:p>
        </w:tc>
        <w:tc>
          <w:tcPr>
            <w:tcW w:w="1297" w:type="dxa"/>
            <w:vMerge w:val="continue"/>
            <w:tcBorders>
              <w:left w:val="single" w:color="auto" w:sz="4" w:space="0"/>
              <w:right w:val="single" w:color="auto" w:sz="4" w:space="0"/>
            </w:tcBorders>
            <w:vAlign w:val="center"/>
          </w:tcPr>
          <w:p w14:paraId="00A92827">
            <w:pPr>
              <w:widowControl/>
              <w:spacing w:line="240" w:lineRule="auto"/>
              <w:jc w:val="left"/>
              <w:rPr>
                <w:rFonts w:cs="宋体" w:asciiTheme="minorEastAsia" w:hAnsiTheme="minorEastAsia" w:eastAsiaTheme="minorEastAsia"/>
                <w:color w:val="000000"/>
                <w:kern w:val="0"/>
                <w:szCs w:val="24"/>
              </w:rPr>
            </w:pPr>
          </w:p>
        </w:tc>
        <w:tc>
          <w:tcPr>
            <w:tcW w:w="765" w:type="dxa"/>
            <w:tcBorders>
              <w:top w:val="nil"/>
              <w:left w:val="single" w:color="auto" w:sz="4" w:space="0"/>
              <w:bottom w:val="single" w:color="000000" w:sz="4" w:space="0"/>
              <w:right w:val="single" w:color="auto" w:sz="4" w:space="0"/>
            </w:tcBorders>
            <w:vAlign w:val="center"/>
          </w:tcPr>
          <w:p w14:paraId="26AB5138">
            <w:pPr>
              <w:widowControl/>
              <w:spacing w:line="240" w:lineRule="auto"/>
              <w:jc w:val="lef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升级</w:t>
            </w:r>
          </w:p>
        </w:tc>
      </w:tr>
      <w:tr w14:paraId="5E1F5E33">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5275C6D2">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28BCEF2D">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08C04B1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区域消毒供应中心</w:t>
            </w:r>
          </w:p>
        </w:tc>
        <w:tc>
          <w:tcPr>
            <w:tcW w:w="615" w:type="dxa"/>
            <w:tcBorders>
              <w:top w:val="nil"/>
              <w:left w:val="nil"/>
              <w:bottom w:val="single" w:color="auto" w:sz="4" w:space="0"/>
              <w:right w:val="single" w:color="auto" w:sz="4" w:space="0"/>
            </w:tcBorders>
            <w:shd w:val="clear" w:color="auto" w:fill="auto"/>
            <w:noWrap/>
            <w:vAlign w:val="center"/>
          </w:tcPr>
          <w:p w14:paraId="4BB2D24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027F828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vMerge w:val="continue"/>
            <w:tcBorders>
              <w:top w:val="nil"/>
              <w:left w:val="single" w:color="auto" w:sz="4" w:space="0"/>
              <w:bottom w:val="single" w:color="000000" w:sz="4" w:space="0"/>
              <w:right w:val="single" w:color="auto" w:sz="4" w:space="0"/>
            </w:tcBorders>
            <w:vAlign w:val="center"/>
          </w:tcPr>
          <w:p w14:paraId="41A9A4A3">
            <w:pPr>
              <w:widowControl/>
              <w:spacing w:line="240" w:lineRule="auto"/>
              <w:jc w:val="left"/>
              <w:rPr>
                <w:rFonts w:cs="宋体" w:asciiTheme="minorEastAsia" w:hAnsiTheme="minorEastAsia" w:eastAsiaTheme="minorEastAsia"/>
                <w:color w:val="000000"/>
                <w:kern w:val="0"/>
                <w:szCs w:val="24"/>
              </w:rPr>
            </w:pPr>
          </w:p>
        </w:tc>
        <w:tc>
          <w:tcPr>
            <w:tcW w:w="1297" w:type="dxa"/>
            <w:vMerge w:val="continue"/>
            <w:tcBorders>
              <w:left w:val="single" w:color="auto" w:sz="4" w:space="0"/>
              <w:right w:val="single" w:color="auto" w:sz="4" w:space="0"/>
            </w:tcBorders>
            <w:vAlign w:val="center"/>
          </w:tcPr>
          <w:p w14:paraId="409CE665">
            <w:pPr>
              <w:widowControl/>
              <w:spacing w:line="240" w:lineRule="auto"/>
              <w:jc w:val="left"/>
              <w:rPr>
                <w:rFonts w:cs="宋体" w:asciiTheme="minorEastAsia" w:hAnsiTheme="minorEastAsia" w:eastAsiaTheme="minorEastAsia"/>
                <w:color w:val="000000"/>
                <w:kern w:val="0"/>
                <w:szCs w:val="24"/>
              </w:rPr>
            </w:pPr>
          </w:p>
        </w:tc>
        <w:tc>
          <w:tcPr>
            <w:tcW w:w="765" w:type="dxa"/>
            <w:tcBorders>
              <w:top w:val="nil"/>
              <w:left w:val="single" w:color="auto" w:sz="4" w:space="0"/>
              <w:bottom w:val="single" w:color="000000" w:sz="4" w:space="0"/>
              <w:right w:val="single" w:color="auto" w:sz="4" w:space="0"/>
            </w:tcBorders>
            <w:vAlign w:val="center"/>
          </w:tcPr>
          <w:p w14:paraId="24FEA6D3">
            <w:pPr>
              <w:widowControl/>
              <w:spacing w:line="240" w:lineRule="auto"/>
              <w:jc w:val="lef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升级</w:t>
            </w:r>
          </w:p>
        </w:tc>
      </w:tr>
      <w:tr w14:paraId="423A62B8">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5137C027">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5725BF91">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626F08C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院前急救中心</w:t>
            </w:r>
          </w:p>
        </w:tc>
        <w:tc>
          <w:tcPr>
            <w:tcW w:w="615" w:type="dxa"/>
            <w:tcBorders>
              <w:top w:val="nil"/>
              <w:left w:val="nil"/>
              <w:bottom w:val="single" w:color="auto" w:sz="4" w:space="0"/>
              <w:right w:val="single" w:color="auto" w:sz="4" w:space="0"/>
            </w:tcBorders>
            <w:shd w:val="clear" w:color="auto" w:fill="auto"/>
            <w:noWrap/>
            <w:vAlign w:val="center"/>
          </w:tcPr>
          <w:p w14:paraId="4885596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36A16C12">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vMerge w:val="continue"/>
            <w:tcBorders>
              <w:top w:val="nil"/>
              <w:left w:val="single" w:color="auto" w:sz="4" w:space="0"/>
              <w:bottom w:val="single" w:color="000000" w:sz="4" w:space="0"/>
              <w:right w:val="single" w:color="auto" w:sz="4" w:space="0"/>
            </w:tcBorders>
            <w:vAlign w:val="center"/>
          </w:tcPr>
          <w:p w14:paraId="482E6D33">
            <w:pPr>
              <w:widowControl/>
              <w:spacing w:line="240" w:lineRule="auto"/>
              <w:jc w:val="left"/>
              <w:rPr>
                <w:rFonts w:cs="宋体" w:asciiTheme="minorEastAsia" w:hAnsiTheme="minorEastAsia" w:eastAsiaTheme="minorEastAsia"/>
                <w:color w:val="000000"/>
                <w:kern w:val="0"/>
                <w:szCs w:val="24"/>
              </w:rPr>
            </w:pPr>
          </w:p>
        </w:tc>
        <w:tc>
          <w:tcPr>
            <w:tcW w:w="1297" w:type="dxa"/>
            <w:vMerge w:val="continue"/>
            <w:tcBorders>
              <w:left w:val="single" w:color="auto" w:sz="4" w:space="0"/>
              <w:right w:val="single" w:color="auto" w:sz="4" w:space="0"/>
            </w:tcBorders>
            <w:vAlign w:val="center"/>
          </w:tcPr>
          <w:p w14:paraId="50E52054">
            <w:pPr>
              <w:widowControl/>
              <w:spacing w:line="240" w:lineRule="auto"/>
              <w:jc w:val="left"/>
              <w:rPr>
                <w:rFonts w:cs="宋体" w:asciiTheme="minorEastAsia" w:hAnsiTheme="minorEastAsia" w:eastAsiaTheme="minorEastAsia"/>
                <w:color w:val="000000"/>
                <w:kern w:val="0"/>
                <w:szCs w:val="24"/>
              </w:rPr>
            </w:pPr>
          </w:p>
        </w:tc>
        <w:tc>
          <w:tcPr>
            <w:tcW w:w="765" w:type="dxa"/>
            <w:tcBorders>
              <w:top w:val="nil"/>
              <w:left w:val="single" w:color="auto" w:sz="4" w:space="0"/>
              <w:bottom w:val="single" w:color="000000" w:sz="4" w:space="0"/>
              <w:right w:val="single" w:color="auto" w:sz="4" w:space="0"/>
            </w:tcBorders>
            <w:vAlign w:val="center"/>
          </w:tcPr>
          <w:p w14:paraId="7115F16D">
            <w:pPr>
              <w:widowControl/>
              <w:spacing w:line="240" w:lineRule="auto"/>
              <w:jc w:val="lef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新建</w:t>
            </w:r>
          </w:p>
        </w:tc>
      </w:tr>
      <w:tr w14:paraId="6AB033CB">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7001E64B">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066593BB">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738A9E22">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区域辅助审方中心</w:t>
            </w:r>
          </w:p>
        </w:tc>
        <w:tc>
          <w:tcPr>
            <w:tcW w:w="615" w:type="dxa"/>
            <w:tcBorders>
              <w:top w:val="nil"/>
              <w:left w:val="nil"/>
              <w:bottom w:val="single" w:color="auto" w:sz="4" w:space="0"/>
              <w:right w:val="single" w:color="auto" w:sz="4" w:space="0"/>
            </w:tcBorders>
            <w:shd w:val="clear" w:color="auto" w:fill="auto"/>
            <w:noWrap/>
            <w:vAlign w:val="center"/>
          </w:tcPr>
          <w:p w14:paraId="2ACC1F6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505717F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vMerge w:val="continue"/>
            <w:tcBorders>
              <w:top w:val="nil"/>
              <w:left w:val="single" w:color="auto" w:sz="4" w:space="0"/>
              <w:bottom w:val="single" w:color="000000" w:sz="4" w:space="0"/>
              <w:right w:val="single" w:color="auto" w:sz="4" w:space="0"/>
            </w:tcBorders>
            <w:vAlign w:val="center"/>
          </w:tcPr>
          <w:p w14:paraId="3EE938EF">
            <w:pPr>
              <w:widowControl/>
              <w:spacing w:line="240" w:lineRule="auto"/>
              <w:jc w:val="left"/>
              <w:rPr>
                <w:rFonts w:cs="宋体" w:asciiTheme="minorEastAsia" w:hAnsiTheme="minorEastAsia" w:eastAsiaTheme="minorEastAsia"/>
                <w:color w:val="000000"/>
                <w:kern w:val="0"/>
                <w:szCs w:val="24"/>
              </w:rPr>
            </w:pPr>
          </w:p>
        </w:tc>
        <w:tc>
          <w:tcPr>
            <w:tcW w:w="1297" w:type="dxa"/>
            <w:vMerge w:val="continue"/>
            <w:tcBorders>
              <w:left w:val="single" w:color="auto" w:sz="4" w:space="0"/>
              <w:right w:val="single" w:color="auto" w:sz="4" w:space="0"/>
            </w:tcBorders>
            <w:vAlign w:val="center"/>
          </w:tcPr>
          <w:p w14:paraId="11C31F98">
            <w:pPr>
              <w:widowControl/>
              <w:spacing w:line="240" w:lineRule="auto"/>
              <w:jc w:val="left"/>
              <w:rPr>
                <w:rFonts w:cs="宋体" w:asciiTheme="minorEastAsia" w:hAnsiTheme="minorEastAsia" w:eastAsiaTheme="minorEastAsia"/>
                <w:color w:val="000000"/>
                <w:kern w:val="0"/>
                <w:szCs w:val="24"/>
              </w:rPr>
            </w:pPr>
          </w:p>
        </w:tc>
        <w:tc>
          <w:tcPr>
            <w:tcW w:w="765" w:type="dxa"/>
            <w:tcBorders>
              <w:top w:val="nil"/>
              <w:left w:val="single" w:color="auto" w:sz="4" w:space="0"/>
              <w:bottom w:val="single" w:color="000000" w:sz="4" w:space="0"/>
              <w:right w:val="single" w:color="auto" w:sz="4" w:space="0"/>
            </w:tcBorders>
            <w:vAlign w:val="center"/>
          </w:tcPr>
          <w:p w14:paraId="5F8F6F25">
            <w:pPr>
              <w:widowControl/>
              <w:spacing w:line="240" w:lineRule="auto"/>
              <w:jc w:val="lef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升级</w:t>
            </w:r>
          </w:p>
        </w:tc>
      </w:tr>
      <w:tr w14:paraId="0E2AF6B5">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4241567B">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106137B5">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32C3F94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区域慢病管理中心</w:t>
            </w:r>
          </w:p>
        </w:tc>
        <w:tc>
          <w:tcPr>
            <w:tcW w:w="615" w:type="dxa"/>
            <w:tcBorders>
              <w:top w:val="nil"/>
              <w:left w:val="nil"/>
              <w:bottom w:val="single" w:color="auto" w:sz="4" w:space="0"/>
              <w:right w:val="single" w:color="auto" w:sz="4" w:space="0"/>
            </w:tcBorders>
            <w:shd w:val="clear" w:color="auto" w:fill="auto"/>
            <w:noWrap/>
            <w:vAlign w:val="center"/>
          </w:tcPr>
          <w:p w14:paraId="08E466E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5422E3D5">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vMerge w:val="continue"/>
            <w:tcBorders>
              <w:top w:val="nil"/>
              <w:left w:val="single" w:color="auto" w:sz="4" w:space="0"/>
              <w:bottom w:val="single" w:color="000000" w:sz="4" w:space="0"/>
              <w:right w:val="single" w:color="auto" w:sz="4" w:space="0"/>
            </w:tcBorders>
            <w:vAlign w:val="center"/>
          </w:tcPr>
          <w:p w14:paraId="09CEEB17">
            <w:pPr>
              <w:widowControl/>
              <w:spacing w:line="240" w:lineRule="auto"/>
              <w:jc w:val="left"/>
              <w:rPr>
                <w:rFonts w:cs="宋体" w:asciiTheme="minorEastAsia" w:hAnsiTheme="minorEastAsia" w:eastAsiaTheme="minorEastAsia"/>
                <w:color w:val="000000"/>
                <w:kern w:val="0"/>
                <w:szCs w:val="24"/>
              </w:rPr>
            </w:pPr>
          </w:p>
        </w:tc>
        <w:tc>
          <w:tcPr>
            <w:tcW w:w="1297" w:type="dxa"/>
            <w:vMerge w:val="continue"/>
            <w:tcBorders>
              <w:left w:val="single" w:color="auto" w:sz="4" w:space="0"/>
              <w:right w:val="single" w:color="auto" w:sz="4" w:space="0"/>
            </w:tcBorders>
            <w:vAlign w:val="center"/>
          </w:tcPr>
          <w:p w14:paraId="78FAA211">
            <w:pPr>
              <w:widowControl/>
              <w:spacing w:line="240" w:lineRule="auto"/>
              <w:jc w:val="left"/>
              <w:rPr>
                <w:rFonts w:cs="宋体" w:asciiTheme="minorEastAsia" w:hAnsiTheme="minorEastAsia" w:eastAsiaTheme="minorEastAsia"/>
                <w:color w:val="000000"/>
                <w:kern w:val="0"/>
                <w:szCs w:val="24"/>
              </w:rPr>
            </w:pPr>
          </w:p>
        </w:tc>
        <w:tc>
          <w:tcPr>
            <w:tcW w:w="765" w:type="dxa"/>
            <w:tcBorders>
              <w:top w:val="nil"/>
              <w:left w:val="single" w:color="auto" w:sz="4" w:space="0"/>
              <w:bottom w:val="single" w:color="000000" w:sz="4" w:space="0"/>
              <w:right w:val="single" w:color="auto" w:sz="4" w:space="0"/>
            </w:tcBorders>
            <w:vAlign w:val="center"/>
          </w:tcPr>
          <w:p w14:paraId="4ECEF1C1">
            <w:pPr>
              <w:widowControl/>
              <w:spacing w:line="240" w:lineRule="auto"/>
              <w:jc w:val="lef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升级</w:t>
            </w:r>
          </w:p>
        </w:tc>
      </w:tr>
      <w:tr w14:paraId="63B5C81E">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70955DB7">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654F980D">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215CB97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远程会诊中心</w:t>
            </w:r>
          </w:p>
        </w:tc>
        <w:tc>
          <w:tcPr>
            <w:tcW w:w="615" w:type="dxa"/>
            <w:tcBorders>
              <w:top w:val="nil"/>
              <w:left w:val="nil"/>
              <w:bottom w:val="single" w:color="auto" w:sz="4" w:space="0"/>
              <w:right w:val="single" w:color="auto" w:sz="4" w:space="0"/>
            </w:tcBorders>
            <w:shd w:val="clear" w:color="auto" w:fill="auto"/>
            <w:noWrap/>
            <w:vAlign w:val="center"/>
          </w:tcPr>
          <w:p w14:paraId="2635CF2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366F7F16">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vMerge w:val="continue"/>
            <w:tcBorders>
              <w:top w:val="nil"/>
              <w:left w:val="single" w:color="auto" w:sz="4" w:space="0"/>
              <w:bottom w:val="single" w:color="000000" w:sz="4" w:space="0"/>
              <w:right w:val="single" w:color="auto" w:sz="4" w:space="0"/>
            </w:tcBorders>
            <w:vAlign w:val="center"/>
          </w:tcPr>
          <w:p w14:paraId="3772E52D">
            <w:pPr>
              <w:widowControl/>
              <w:spacing w:line="240" w:lineRule="auto"/>
              <w:jc w:val="left"/>
              <w:rPr>
                <w:rFonts w:cs="宋体" w:asciiTheme="minorEastAsia" w:hAnsiTheme="minorEastAsia" w:eastAsiaTheme="minorEastAsia"/>
                <w:color w:val="000000"/>
                <w:kern w:val="0"/>
                <w:szCs w:val="24"/>
              </w:rPr>
            </w:pPr>
          </w:p>
        </w:tc>
        <w:tc>
          <w:tcPr>
            <w:tcW w:w="1297" w:type="dxa"/>
            <w:vMerge w:val="continue"/>
            <w:tcBorders>
              <w:left w:val="single" w:color="auto" w:sz="4" w:space="0"/>
              <w:right w:val="single" w:color="auto" w:sz="4" w:space="0"/>
            </w:tcBorders>
            <w:vAlign w:val="center"/>
          </w:tcPr>
          <w:p w14:paraId="1D3A8C9D">
            <w:pPr>
              <w:widowControl/>
              <w:spacing w:line="240" w:lineRule="auto"/>
              <w:jc w:val="left"/>
              <w:rPr>
                <w:rFonts w:cs="宋体" w:asciiTheme="minorEastAsia" w:hAnsiTheme="minorEastAsia" w:eastAsiaTheme="minorEastAsia"/>
                <w:color w:val="000000"/>
                <w:kern w:val="0"/>
                <w:szCs w:val="24"/>
              </w:rPr>
            </w:pPr>
          </w:p>
        </w:tc>
        <w:tc>
          <w:tcPr>
            <w:tcW w:w="765" w:type="dxa"/>
            <w:tcBorders>
              <w:top w:val="nil"/>
              <w:left w:val="single" w:color="auto" w:sz="4" w:space="0"/>
              <w:bottom w:val="single" w:color="000000" w:sz="4" w:space="0"/>
              <w:right w:val="single" w:color="auto" w:sz="4" w:space="0"/>
            </w:tcBorders>
            <w:vAlign w:val="center"/>
          </w:tcPr>
          <w:p w14:paraId="21D23100">
            <w:pPr>
              <w:widowControl/>
              <w:spacing w:line="240" w:lineRule="auto"/>
              <w:jc w:val="lef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新建</w:t>
            </w:r>
          </w:p>
        </w:tc>
      </w:tr>
      <w:tr w14:paraId="2BD54713">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1A120266">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6AE8C543">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676B7B6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转诊中心</w:t>
            </w:r>
          </w:p>
        </w:tc>
        <w:tc>
          <w:tcPr>
            <w:tcW w:w="615" w:type="dxa"/>
            <w:tcBorders>
              <w:top w:val="nil"/>
              <w:left w:val="nil"/>
              <w:bottom w:val="single" w:color="auto" w:sz="4" w:space="0"/>
              <w:right w:val="single" w:color="auto" w:sz="4" w:space="0"/>
            </w:tcBorders>
            <w:shd w:val="clear" w:color="auto" w:fill="auto"/>
            <w:noWrap/>
            <w:vAlign w:val="center"/>
          </w:tcPr>
          <w:p w14:paraId="5FC8A966">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31767FF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vMerge w:val="continue"/>
            <w:tcBorders>
              <w:top w:val="nil"/>
              <w:left w:val="single" w:color="auto" w:sz="4" w:space="0"/>
              <w:bottom w:val="single" w:color="000000" w:sz="4" w:space="0"/>
              <w:right w:val="single" w:color="auto" w:sz="4" w:space="0"/>
            </w:tcBorders>
            <w:vAlign w:val="center"/>
          </w:tcPr>
          <w:p w14:paraId="6D3F75A4">
            <w:pPr>
              <w:widowControl/>
              <w:spacing w:line="240" w:lineRule="auto"/>
              <w:jc w:val="left"/>
              <w:rPr>
                <w:rFonts w:cs="宋体" w:asciiTheme="minorEastAsia" w:hAnsiTheme="minorEastAsia" w:eastAsiaTheme="minorEastAsia"/>
                <w:color w:val="000000"/>
                <w:kern w:val="0"/>
                <w:szCs w:val="24"/>
              </w:rPr>
            </w:pPr>
          </w:p>
        </w:tc>
        <w:tc>
          <w:tcPr>
            <w:tcW w:w="1297" w:type="dxa"/>
            <w:vMerge w:val="continue"/>
            <w:tcBorders>
              <w:left w:val="single" w:color="auto" w:sz="4" w:space="0"/>
              <w:right w:val="single" w:color="auto" w:sz="4" w:space="0"/>
            </w:tcBorders>
            <w:vAlign w:val="center"/>
          </w:tcPr>
          <w:p w14:paraId="12BFF66A">
            <w:pPr>
              <w:widowControl/>
              <w:spacing w:line="240" w:lineRule="auto"/>
              <w:jc w:val="left"/>
              <w:rPr>
                <w:rFonts w:cs="宋体" w:asciiTheme="minorEastAsia" w:hAnsiTheme="minorEastAsia" w:eastAsiaTheme="minorEastAsia"/>
                <w:color w:val="000000"/>
                <w:kern w:val="0"/>
                <w:szCs w:val="24"/>
              </w:rPr>
            </w:pPr>
          </w:p>
        </w:tc>
        <w:tc>
          <w:tcPr>
            <w:tcW w:w="765" w:type="dxa"/>
            <w:tcBorders>
              <w:top w:val="nil"/>
              <w:left w:val="single" w:color="auto" w:sz="4" w:space="0"/>
              <w:bottom w:val="single" w:color="000000" w:sz="4" w:space="0"/>
              <w:right w:val="single" w:color="auto" w:sz="4" w:space="0"/>
            </w:tcBorders>
            <w:vAlign w:val="center"/>
          </w:tcPr>
          <w:p w14:paraId="1851D8E6">
            <w:pPr>
              <w:widowControl/>
              <w:spacing w:line="240" w:lineRule="auto"/>
              <w:jc w:val="lef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新建</w:t>
            </w:r>
          </w:p>
        </w:tc>
      </w:tr>
      <w:tr w14:paraId="601000A7">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6D2ABEE3">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684791B0">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6E1D2E2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检查检验互认中心</w:t>
            </w:r>
          </w:p>
        </w:tc>
        <w:tc>
          <w:tcPr>
            <w:tcW w:w="615" w:type="dxa"/>
            <w:tcBorders>
              <w:top w:val="nil"/>
              <w:left w:val="nil"/>
              <w:bottom w:val="single" w:color="auto" w:sz="4" w:space="0"/>
              <w:right w:val="single" w:color="auto" w:sz="4" w:space="0"/>
            </w:tcBorders>
            <w:shd w:val="clear" w:color="auto" w:fill="auto"/>
            <w:noWrap/>
            <w:vAlign w:val="center"/>
          </w:tcPr>
          <w:p w14:paraId="3AB369B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1E54B3D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vMerge w:val="continue"/>
            <w:tcBorders>
              <w:top w:val="nil"/>
              <w:left w:val="single" w:color="auto" w:sz="4" w:space="0"/>
              <w:bottom w:val="single" w:color="000000" w:sz="4" w:space="0"/>
              <w:right w:val="single" w:color="auto" w:sz="4" w:space="0"/>
            </w:tcBorders>
            <w:vAlign w:val="center"/>
          </w:tcPr>
          <w:p w14:paraId="7446A89F">
            <w:pPr>
              <w:widowControl/>
              <w:spacing w:line="240" w:lineRule="auto"/>
              <w:jc w:val="left"/>
              <w:rPr>
                <w:rFonts w:cs="宋体" w:asciiTheme="minorEastAsia" w:hAnsiTheme="minorEastAsia" w:eastAsiaTheme="minorEastAsia"/>
                <w:color w:val="000000"/>
                <w:kern w:val="0"/>
                <w:szCs w:val="24"/>
              </w:rPr>
            </w:pPr>
          </w:p>
        </w:tc>
        <w:tc>
          <w:tcPr>
            <w:tcW w:w="1297" w:type="dxa"/>
            <w:vMerge w:val="continue"/>
            <w:tcBorders>
              <w:left w:val="single" w:color="auto" w:sz="4" w:space="0"/>
              <w:bottom w:val="single" w:color="000000" w:sz="4" w:space="0"/>
              <w:right w:val="single" w:color="auto" w:sz="4" w:space="0"/>
            </w:tcBorders>
            <w:vAlign w:val="center"/>
          </w:tcPr>
          <w:p w14:paraId="20CC7A6D">
            <w:pPr>
              <w:widowControl/>
              <w:spacing w:line="240" w:lineRule="auto"/>
              <w:jc w:val="left"/>
              <w:rPr>
                <w:rFonts w:cs="宋体" w:asciiTheme="minorEastAsia" w:hAnsiTheme="minorEastAsia" w:eastAsiaTheme="minorEastAsia"/>
                <w:color w:val="000000"/>
                <w:kern w:val="0"/>
                <w:szCs w:val="24"/>
              </w:rPr>
            </w:pPr>
          </w:p>
        </w:tc>
        <w:tc>
          <w:tcPr>
            <w:tcW w:w="765" w:type="dxa"/>
            <w:tcBorders>
              <w:top w:val="nil"/>
              <w:left w:val="single" w:color="auto" w:sz="4" w:space="0"/>
              <w:bottom w:val="single" w:color="000000" w:sz="4" w:space="0"/>
              <w:right w:val="single" w:color="auto" w:sz="4" w:space="0"/>
            </w:tcBorders>
            <w:vAlign w:val="center"/>
          </w:tcPr>
          <w:p w14:paraId="71879E4C">
            <w:pPr>
              <w:widowControl/>
              <w:spacing w:line="240" w:lineRule="auto"/>
              <w:jc w:val="lef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升级</w:t>
            </w:r>
          </w:p>
        </w:tc>
      </w:tr>
      <w:tr w14:paraId="1587029B">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76CC3612">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restart"/>
            <w:tcBorders>
              <w:top w:val="nil"/>
              <w:left w:val="single" w:color="auto" w:sz="4" w:space="0"/>
              <w:bottom w:val="single" w:color="auto" w:sz="4" w:space="0"/>
              <w:right w:val="single" w:color="auto" w:sz="4" w:space="0"/>
            </w:tcBorders>
            <w:shd w:val="clear" w:color="auto" w:fill="auto"/>
            <w:vAlign w:val="center"/>
          </w:tcPr>
          <w:p w14:paraId="2C11F88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一体化基层医疗服务</w:t>
            </w:r>
          </w:p>
        </w:tc>
        <w:tc>
          <w:tcPr>
            <w:tcW w:w="2115" w:type="dxa"/>
            <w:tcBorders>
              <w:top w:val="nil"/>
              <w:left w:val="nil"/>
              <w:bottom w:val="single" w:color="auto" w:sz="4" w:space="0"/>
              <w:right w:val="single" w:color="auto" w:sz="4" w:space="0"/>
            </w:tcBorders>
            <w:shd w:val="clear" w:color="auto" w:fill="auto"/>
            <w:vAlign w:val="center"/>
          </w:tcPr>
          <w:p w14:paraId="2163006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基层HIS系统</w:t>
            </w:r>
          </w:p>
        </w:tc>
        <w:tc>
          <w:tcPr>
            <w:tcW w:w="615" w:type="dxa"/>
            <w:tcBorders>
              <w:top w:val="nil"/>
              <w:left w:val="nil"/>
              <w:bottom w:val="single" w:color="auto" w:sz="4" w:space="0"/>
              <w:right w:val="single" w:color="auto" w:sz="4" w:space="0"/>
            </w:tcBorders>
            <w:shd w:val="clear" w:color="auto" w:fill="auto"/>
            <w:noWrap/>
            <w:vAlign w:val="center"/>
          </w:tcPr>
          <w:p w14:paraId="32BC129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6DAA80C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tcBorders>
              <w:top w:val="nil"/>
              <w:left w:val="nil"/>
              <w:bottom w:val="single" w:color="auto" w:sz="4" w:space="0"/>
              <w:right w:val="single" w:color="auto" w:sz="4" w:space="0"/>
            </w:tcBorders>
            <w:shd w:val="clear" w:color="auto" w:fill="auto"/>
            <w:vAlign w:val="center"/>
          </w:tcPr>
          <w:p w14:paraId="2AA6F986">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4家社区服务中心，20家乡镇卫生院</w:t>
            </w:r>
          </w:p>
        </w:tc>
        <w:tc>
          <w:tcPr>
            <w:tcW w:w="1297" w:type="dxa"/>
            <w:vMerge w:val="restart"/>
            <w:tcBorders>
              <w:top w:val="nil"/>
              <w:left w:val="nil"/>
              <w:right w:val="single" w:color="auto" w:sz="4" w:space="0"/>
            </w:tcBorders>
            <w:vAlign w:val="center"/>
          </w:tcPr>
          <w:p w14:paraId="3EA89720">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765" w:type="dxa"/>
            <w:tcBorders>
              <w:top w:val="nil"/>
              <w:left w:val="nil"/>
              <w:bottom w:val="single" w:color="auto" w:sz="4" w:space="0"/>
              <w:right w:val="single" w:color="auto" w:sz="4" w:space="0"/>
            </w:tcBorders>
            <w:vAlign w:val="center"/>
          </w:tcPr>
          <w:p w14:paraId="34A99547">
            <w:pPr>
              <w:widowControl/>
              <w:spacing w:line="240" w:lineRule="auto"/>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升级</w:t>
            </w:r>
          </w:p>
        </w:tc>
      </w:tr>
      <w:tr w14:paraId="3740F061">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6F607A84">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1C85945C">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1AD6EC2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基层电子病历系统</w:t>
            </w:r>
          </w:p>
        </w:tc>
        <w:tc>
          <w:tcPr>
            <w:tcW w:w="615" w:type="dxa"/>
            <w:tcBorders>
              <w:top w:val="nil"/>
              <w:left w:val="nil"/>
              <w:bottom w:val="single" w:color="auto" w:sz="4" w:space="0"/>
              <w:right w:val="single" w:color="auto" w:sz="4" w:space="0"/>
            </w:tcBorders>
            <w:shd w:val="clear" w:color="auto" w:fill="auto"/>
            <w:noWrap/>
            <w:vAlign w:val="center"/>
          </w:tcPr>
          <w:p w14:paraId="7BCD993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38149AE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tcBorders>
              <w:top w:val="nil"/>
              <w:left w:val="nil"/>
              <w:bottom w:val="single" w:color="auto" w:sz="4" w:space="0"/>
              <w:right w:val="single" w:color="auto" w:sz="4" w:space="0"/>
            </w:tcBorders>
            <w:shd w:val="clear" w:color="auto" w:fill="auto"/>
            <w:vAlign w:val="center"/>
          </w:tcPr>
          <w:p w14:paraId="1DB4E3A4">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4家社区服务中心，20家乡镇卫生院</w:t>
            </w:r>
          </w:p>
        </w:tc>
        <w:tc>
          <w:tcPr>
            <w:tcW w:w="1297" w:type="dxa"/>
            <w:vMerge w:val="continue"/>
            <w:tcBorders>
              <w:left w:val="nil"/>
              <w:right w:val="single" w:color="auto" w:sz="4" w:space="0"/>
            </w:tcBorders>
            <w:vAlign w:val="center"/>
          </w:tcPr>
          <w:p w14:paraId="1AD5846B">
            <w:pPr>
              <w:widowControl/>
              <w:spacing w:line="240" w:lineRule="auto"/>
              <w:jc w:val="center"/>
              <w:rPr>
                <w:rFonts w:cs="宋体" w:asciiTheme="minorEastAsia" w:hAnsiTheme="minorEastAsia" w:eastAsiaTheme="minorEastAsia"/>
                <w:color w:val="000000"/>
                <w:kern w:val="0"/>
                <w:szCs w:val="24"/>
              </w:rPr>
            </w:pPr>
          </w:p>
        </w:tc>
        <w:tc>
          <w:tcPr>
            <w:tcW w:w="765" w:type="dxa"/>
            <w:tcBorders>
              <w:top w:val="nil"/>
              <w:left w:val="nil"/>
              <w:bottom w:val="single" w:color="auto" w:sz="4" w:space="0"/>
              <w:right w:val="single" w:color="auto" w:sz="4" w:space="0"/>
            </w:tcBorders>
            <w:vAlign w:val="center"/>
          </w:tcPr>
          <w:p w14:paraId="7FAD916B">
            <w:pPr>
              <w:widowControl/>
              <w:spacing w:line="240" w:lineRule="auto"/>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升级</w:t>
            </w:r>
          </w:p>
        </w:tc>
      </w:tr>
      <w:tr w14:paraId="7704DD0C">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774B5F4A">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613575B0">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0657B935">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基层体检系统</w:t>
            </w:r>
          </w:p>
        </w:tc>
        <w:tc>
          <w:tcPr>
            <w:tcW w:w="615" w:type="dxa"/>
            <w:tcBorders>
              <w:top w:val="nil"/>
              <w:left w:val="nil"/>
              <w:bottom w:val="single" w:color="auto" w:sz="4" w:space="0"/>
              <w:right w:val="single" w:color="auto" w:sz="4" w:space="0"/>
            </w:tcBorders>
            <w:shd w:val="clear" w:color="auto" w:fill="auto"/>
            <w:noWrap/>
            <w:vAlign w:val="center"/>
          </w:tcPr>
          <w:p w14:paraId="0108496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66EFF6A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tcBorders>
              <w:top w:val="nil"/>
              <w:left w:val="nil"/>
              <w:bottom w:val="single" w:color="auto" w:sz="4" w:space="0"/>
              <w:right w:val="single" w:color="auto" w:sz="4" w:space="0"/>
            </w:tcBorders>
            <w:shd w:val="clear" w:color="auto" w:fill="auto"/>
            <w:vAlign w:val="center"/>
          </w:tcPr>
          <w:p w14:paraId="130B476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4家社区服务中心，20家乡镇卫生院</w:t>
            </w:r>
          </w:p>
        </w:tc>
        <w:tc>
          <w:tcPr>
            <w:tcW w:w="1297" w:type="dxa"/>
            <w:vMerge w:val="continue"/>
            <w:tcBorders>
              <w:left w:val="nil"/>
              <w:bottom w:val="single" w:color="auto" w:sz="4" w:space="0"/>
              <w:right w:val="single" w:color="auto" w:sz="4" w:space="0"/>
            </w:tcBorders>
            <w:vAlign w:val="center"/>
          </w:tcPr>
          <w:p w14:paraId="4E217B71">
            <w:pPr>
              <w:widowControl/>
              <w:spacing w:line="240" w:lineRule="auto"/>
              <w:jc w:val="center"/>
              <w:rPr>
                <w:rFonts w:cs="宋体" w:asciiTheme="minorEastAsia" w:hAnsiTheme="minorEastAsia" w:eastAsiaTheme="minorEastAsia"/>
                <w:color w:val="000000"/>
                <w:kern w:val="0"/>
                <w:szCs w:val="24"/>
              </w:rPr>
            </w:pPr>
          </w:p>
        </w:tc>
        <w:tc>
          <w:tcPr>
            <w:tcW w:w="765" w:type="dxa"/>
            <w:tcBorders>
              <w:top w:val="nil"/>
              <w:left w:val="nil"/>
              <w:bottom w:val="single" w:color="auto" w:sz="4" w:space="0"/>
              <w:right w:val="single" w:color="auto" w:sz="4" w:space="0"/>
            </w:tcBorders>
            <w:vAlign w:val="center"/>
          </w:tcPr>
          <w:p w14:paraId="43A9447D">
            <w:pPr>
              <w:widowControl/>
              <w:spacing w:line="240" w:lineRule="auto"/>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新建</w:t>
            </w:r>
          </w:p>
        </w:tc>
      </w:tr>
      <w:tr w14:paraId="1E339B8F">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26720606">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restart"/>
            <w:tcBorders>
              <w:top w:val="nil"/>
              <w:left w:val="single" w:color="auto" w:sz="4" w:space="0"/>
              <w:bottom w:val="single" w:color="auto" w:sz="4" w:space="0"/>
              <w:right w:val="single" w:color="auto" w:sz="4" w:space="0"/>
            </w:tcBorders>
            <w:shd w:val="clear" w:color="auto" w:fill="auto"/>
            <w:vAlign w:val="center"/>
          </w:tcPr>
          <w:p w14:paraId="5DBCAB5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一体化运营服务</w:t>
            </w:r>
          </w:p>
        </w:tc>
        <w:tc>
          <w:tcPr>
            <w:tcW w:w="2115" w:type="dxa"/>
            <w:tcBorders>
              <w:top w:val="nil"/>
              <w:left w:val="nil"/>
              <w:bottom w:val="single" w:color="auto" w:sz="4" w:space="0"/>
              <w:right w:val="single" w:color="auto" w:sz="4" w:space="0"/>
            </w:tcBorders>
            <w:shd w:val="clear" w:color="auto" w:fill="auto"/>
            <w:vAlign w:val="center"/>
          </w:tcPr>
          <w:p w14:paraId="2AB35782">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医共体物资系统</w:t>
            </w:r>
          </w:p>
        </w:tc>
        <w:tc>
          <w:tcPr>
            <w:tcW w:w="615" w:type="dxa"/>
            <w:tcBorders>
              <w:top w:val="nil"/>
              <w:left w:val="nil"/>
              <w:bottom w:val="single" w:color="auto" w:sz="4" w:space="0"/>
              <w:right w:val="single" w:color="auto" w:sz="4" w:space="0"/>
            </w:tcBorders>
            <w:shd w:val="clear" w:color="auto" w:fill="auto"/>
            <w:noWrap/>
            <w:vAlign w:val="center"/>
          </w:tcPr>
          <w:p w14:paraId="5DD21FE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69AD86F2">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tcBorders>
              <w:top w:val="nil"/>
              <w:left w:val="nil"/>
              <w:bottom w:val="single" w:color="auto" w:sz="4" w:space="0"/>
              <w:right w:val="single" w:color="auto" w:sz="4" w:space="0"/>
            </w:tcBorders>
            <w:shd w:val="clear" w:color="auto" w:fill="auto"/>
            <w:vAlign w:val="center"/>
          </w:tcPr>
          <w:p w14:paraId="6A7BCB8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 xml:space="preserve"> 乌拉特前旗人民医院、4家社区服务中心，20家乡镇卫生院</w:t>
            </w:r>
          </w:p>
        </w:tc>
        <w:tc>
          <w:tcPr>
            <w:tcW w:w="1297" w:type="dxa"/>
            <w:vMerge w:val="restart"/>
            <w:tcBorders>
              <w:top w:val="nil"/>
              <w:left w:val="nil"/>
              <w:right w:val="single" w:color="auto" w:sz="4" w:space="0"/>
            </w:tcBorders>
            <w:vAlign w:val="center"/>
          </w:tcPr>
          <w:p w14:paraId="1E99132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765" w:type="dxa"/>
            <w:tcBorders>
              <w:top w:val="nil"/>
              <w:left w:val="nil"/>
              <w:bottom w:val="single" w:color="auto" w:sz="4" w:space="0"/>
              <w:right w:val="single" w:color="auto" w:sz="4" w:space="0"/>
            </w:tcBorders>
            <w:vAlign w:val="center"/>
          </w:tcPr>
          <w:p w14:paraId="7BAE6C27">
            <w:pPr>
              <w:widowControl/>
              <w:spacing w:line="240" w:lineRule="auto"/>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升级</w:t>
            </w:r>
          </w:p>
        </w:tc>
      </w:tr>
      <w:tr w14:paraId="5967211F">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5BF3C5E2">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59370F43">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5E71BCA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医共体统一运营系统</w:t>
            </w:r>
          </w:p>
        </w:tc>
        <w:tc>
          <w:tcPr>
            <w:tcW w:w="615" w:type="dxa"/>
            <w:tcBorders>
              <w:top w:val="nil"/>
              <w:left w:val="nil"/>
              <w:bottom w:val="single" w:color="auto" w:sz="4" w:space="0"/>
              <w:right w:val="single" w:color="auto" w:sz="4" w:space="0"/>
            </w:tcBorders>
            <w:shd w:val="clear" w:color="auto" w:fill="auto"/>
            <w:noWrap/>
            <w:vAlign w:val="center"/>
          </w:tcPr>
          <w:p w14:paraId="0831827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29A9855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tcBorders>
              <w:top w:val="nil"/>
              <w:left w:val="nil"/>
              <w:bottom w:val="single" w:color="auto" w:sz="4" w:space="0"/>
              <w:right w:val="single" w:color="auto" w:sz="4" w:space="0"/>
            </w:tcBorders>
            <w:shd w:val="clear" w:color="auto" w:fill="auto"/>
            <w:vAlign w:val="center"/>
          </w:tcPr>
          <w:p w14:paraId="19CF504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 xml:space="preserve"> 乌拉特前旗人民医院、4家社区服务中心，20家乡镇卫生院</w:t>
            </w:r>
          </w:p>
        </w:tc>
        <w:tc>
          <w:tcPr>
            <w:tcW w:w="1297" w:type="dxa"/>
            <w:vMerge w:val="continue"/>
            <w:tcBorders>
              <w:left w:val="nil"/>
              <w:right w:val="single" w:color="auto" w:sz="4" w:space="0"/>
            </w:tcBorders>
            <w:vAlign w:val="center"/>
          </w:tcPr>
          <w:p w14:paraId="39051765">
            <w:pPr>
              <w:widowControl/>
              <w:spacing w:line="240" w:lineRule="auto"/>
              <w:jc w:val="center"/>
              <w:rPr>
                <w:rFonts w:cs="宋体" w:asciiTheme="minorEastAsia" w:hAnsiTheme="minorEastAsia" w:eastAsiaTheme="minorEastAsia"/>
                <w:color w:val="000000"/>
                <w:kern w:val="0"/>
                <w:szCs w:val="24"/>
              </w:rPr>
            </w:pPr>
          </w:p>
        </w:tc>
        <w:tc>
          <w:tcPr>
            <w:tcW w:w="765" w:type="dxa"/>
            <w:tcBorders>
              <w:top w:val="nil"/>
              <w:left w:val="nil"/>
              <w:bottom w:val="single" w:color="auto" w:sz="4" w:space="0"/>
              <w:right w:val="single" w:color="auto" w:sz="4" w:space="0"/>
            </w:tcBorders>
            <w:vAlign w:val="center"/>
          </w:tcPr>
          <w:p w14:paraId="49E181EC">
            <w:pPr>
              <w:widowControl/>
              <w:spacing w:line="240" w:lineRule="auto"/>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升级</w:t>
            </w:r>
          </w:p>
        </w:tc>
      </w:tr>
      <w:tr w14:paraId="71E2257B">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2B0EE112">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669883C0">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4570AF55">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医共体综合运营监管平台</w:t>
            </w:r>
          </w:p>
        </w:tc>
        <w:tc>
          <w:tcPr>
            <w:tcW w:w="615" w:type="dxa"/>
            <w:tcBorders>
              <w:top w:val="nil"/>
              <w:left w:val="nil"/>
              <w:bottom w:val="single" w:color="auto" w:sz="4" w:space="0"/>
              <w:right w:val="single" w:color="auto" w:sz="4" w:space="0"/>
            </w:tcBorders>
            <w:shd w:val="clear" w:color="auto" w:fill="auto"/>
            <w:noWrap/>
            <w:vAlign w:val="center"/>
          </w:tcPr>
          <w:p w14:paraId="1BCF3FD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7DE35F9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tcBorders>
              <w:top w:val="nil"/>
              <w:left w:val="nil"/>
              <w:bottom w:val="single" w:color="auto" w:sz="4" w:space="0"/>
              <w:right w:val="single" w:color="auto" w:sz="4" w:space="0"/>
            </w:tcBorders>
            <w:shd w:val="clear" w:color="auto" w:fill="auto"/>
            <w:vAlign w:val="center"/>
          </w:tcPr>
          <w:p w14:paraId="57C53C1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 xml:space="preserve"> 乌拉特前旗人民医院、乌拉特前旗中蒙医院、乌拉特前旗妇幼保健计划生育服务中心、4家社区服务中心，20家乡镇卫生院</w:t>
            </w:r>
          </w:p>
        </w:tc>
        <w:tc>
          <w:tcPr>
            <w:tcW w:w="1297" w:type="dxa"/>
            <w:vMerge w:val="continue"/>
            <w:tcBorders>
              <w:left w:val="nil"/>
              <w:bottom w:val="single" w:color="auto" w:sz="4" w:space="0"/>
              <w:right w:val="single" w:color="auto" w:sz="4" w:space="0"/>
            </w:tcBorders>
            <w:vAlign w:val="center"/>
          </w:tcPr>
          <w:p w14:paraId="2598EA37">
            <w:pPr>
              <w:widowControl/>
              <w:spacing w:line="240" w:lineRule="auto"/>
              <w:jc w:val="center"/>
              <w:rPr>
                <w:rFonts w:cs="宋体" w:asciiTheme="minorEastAsia" w:hAnsiTheme="minorEastAsia" w:eastAsiaTheme="minorEastAsia"/>
                <w:color w:val="000000"/>
                <w:kern w:val="0"/>
                <w:szCs w:val="24"/>
              </w:rPr>
            </w:pPr>
          </w:p>
        </w:tc>
        <w:tc>
          <w:tcPr>
            <w:tcW w:w="765" w:type="dxa"/>
            <w:tcBorders>
              <w:top w:val="nil"/>
              <w:left w:val="nil"/>
              <w:bottom w:val="single" w:color="auto" w:sz="4" w:space="0"/>
              <w:right w:val="single" w:color="auto" w:sz="4" w:space="0"/>
            </w:tcBorders>
            <w:vAlign w:val="center"/>
          </w:tcPr>
          <w:p w14:paraId="608B4A99">
            <w:pPr>
              <w:widowControl/>
              <w:spacing w:line="240" w:lineRule="auto"/>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新建</w:t>
            </w:r>
          </w:p>
        </w:tc>
      </w:tr>
      <w:tr w14:paraId="3334AFD3">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7D67F7DD">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restart"/>
            <w:tcBorders>
              <w:top w:val="nil"/>
              <w:left w:val="single" w:color="auto" w:sz="4" w:space="0"/>
              <w:bottom w:val="single" w:color="000000" w:sz="4" w:space="0"/>
              <w:right w:val="single" w:color="auto" w:sz="4" w:space="0"/>
            </w:tcBorders>
            <w:shd w:val="clear" w:color="auto" w:fill="auto"/>
            <w:vAlign w:val="center"/>
          </w:tcPr>
          <w:p w14:paraId="70BDA9E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乌拉特前旗人民系统升级</w:t>
            </w:r>
          </w:p>
        </w:tc>
        <w:tc>
          <w:tcPr>
            <w:tcW w:w="2115" w:type="dxa"/>
            <w:tcBorders>
              <w:top w:val="nil"/>
              <w:left w:val="nil"/>
              <w:bottom w:val="single" w:color="auto" w:sz="4" w:space="0"/>
              <w:right w:val="single" w:color="auto" w:sz="4" w:space="0"/>
            </w:tcBorders>
            <w:shd w:val="clear" w:color="auto" w:fill="auto"/>
            <w:vAlign w:val="center"/>
          </w:tcPr>
          <w:p w14:paraId="407845D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移动护理系统升级</w:t>
            </w:r>
          </w:p>
        </w:tc>
        <w:tc>
          <w:tcPr>
            <w:tcW w:w="615" w:type="dxa"/>
            <w:tcBorders>
              <w:top w:val="nil"/>
              <w:left w:val="nil"/>
              <w:bottom w:val="single" w:color="auto" w:sz="4" w:space="0"/>
              <w:right w:val="single" w:color="auto" w:sz="4" w:space="0"/>
            </w:tcBorders>
            <w:shd w:val="clear" w:color="auto" w:fill="auto"/>
            <w:noWrap/>
            <w:vAlign w:val="center"/>
          </w:tcPr>
          <w:p w14:paraId="0A9FA384">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164A094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tcBorders>
              <w:top w:val="nil"/>
              <w:left w:val="nil"/>
              <w:bottom w:val="single" w:color="auto" w:sz="4" w:space="0"/>
              <w:right w:val="single" w:color="auto" w:sz="4" w:space="0"/>
            </w:tcBorders>
            <w:shd w:val="clear" w:color="auto" w:fill="auto"/>
            <w:vAlign w:val="center"/>
          </w:tcPr>
          <w:p w14:paraId="3450ED4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乌拉特前旗人民医院</w:t>
            </w:r>
          </w:p>
        </w:tc>
        <w:tc>
          <w:tcPr>
            <w:tcW w:w="1297" w:type="dxa"/>
            <w:vMerge w:val="restart"/>
            <w:tcBorders>
              <w:top w:val="nil"/>
              <w:left w:val="nil"/>
              <w:right w:val="single" w:color="auto" w:sz="4" w:space="0"/>
            </w:tcBorders>
            <w:vAlign w:val="center"/>
          </w:tcPr>
          <w:p w14:paraId="20C26C60">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765" w:type="dxa"/>
            <w:tcBorders>
              <w:top w:val="nil"/>
              <w:left w:val="nil"/>
              <w:bottom w:val="single" w:color="auto" w:sz="4" w:space="0"/>
              <w:right w:val="single" w:color="auto" w:sz="4" w:space="0"/>
            </w:tcBorders>
            <w:vAlign w:val="center"/>
          </w:tcPr>
          <w:p w14:paraId="33857C04">
            <w:pPr>
              <w:widowControl/>
              <w:spacing w:line="240" w:lineRule="auto"/>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升级</w:t>
            </w:r>
          </w:p>
        </w:tc>
      </w:tr>
      <w:tr w14:paraId="0D90F5D1">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5DBCDD95">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000000" w:sz="4" w:space="0"/>
              <w:right w:val="single" w:color="auto" w:sz="4" w:space="0"/>
            </w:tcBorders>
            <w:vAlign w:val="center"/>
          </w:tcPr>
          <w:p w14:paraId="4D94E190">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7C9C810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医保DIP系统</w:t>
            </w:r>
          </w:p>
        </w:tc>
        <w:tc>
          <w:tcPr>
            <w:tcW w:w="615" w:type="dxa"/>
            <w:tcBorders>
              <w:top w:val="nil"/>
              <w:left w:val="nil"/>
              <w:bottom w:val="single" w:color="auto" w:sz="4" w:space="0"/>
              <w:right w:val="single" w:color="auto" w:sz="4" w:space="0"/>
            </w:tcBorders>
            <w:shd w:val="clear" w:color="auto" w:fill="auto"/>
            <w:noWrap/>
            <w:vAlign w:val="center"/>
          </w:tcPr>
          <w:p w14:paraId="7C83031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7F5F9B8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tcBorders>
              <w:top w:val="nil"/>
              <w:left w:val="nil"/>
              <w:bottom w:val="single" w:color="auto" w:sz="4" w:space="0"/>
              <w:right w:val="single" w:color="auto" w:sz="4" w:space="0"/>
            </w:tcBorders>
            <w:shd w:val="clear" w:color="auto" w:fill="auto"/>
            <w:vAlign w:val="center"/>
          </w:tcPr>
          <w:p w14:paraId="4E3043F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乌拉特前旗人民医院</w:t>
            </w:r>
          </w:p>
        </w:tc>
        <w:tc>
          <w:tcPr>
            <w:tcW w:w="1297" w:type="dxa"/>
            <w:vMerge w:val="continue"/>
            <w:tcBorders>
              <w:left w:val="nil"/>
              <w:right w:val="single" w:color="auto" w:sz="4" w:space="0"/>
            </w:tcBorders>
            <w:vAlign w:val="center"/>
          </w:tcPr>
          <w:p w14:paraId="6AD0C43C">
            <w:pPr>
              <w:widowControl/>
              <w:spacing w:line="240" w:lineRule="auto"/>
              <w:jc w:val="center"/>
              <w:rPr>
                <w:rFonts w:cs="宋体" w:asciiTheme="minorEastAsia" w:hAnsiTheme="minorEastAsia" w:eastAsiaTheme="minorEastAsia"/>
                <w:color w:val="000000"/>
                <w:kern w:val="0"/>
                <w:szCs w:val="24"/>
              </w:rPr>
            </w:pPr>
          </w:p>
        </w:tc>
        <w:tc>
          <w:tcPr>
            <w:tcW w:w="765" w:type="dxa"/>
            <w:tcBorders>
              <w:top w:val="nil"/>
              <w:left w:val="nil"/>
              <w:bottom w:val="single" w:color="auto" w:sz="4" w:space="0"/>
              <w:right w:val="single" w:color="auto" w:sz="4" w:space="0"/>
            </w:tcBorders>
            <w:vAlign w:val="center"/>
          </w:tcPr>
          <w:p w14:paraId="48BBA92A">
            <w:pPr>
              <w:widowControl/>
              <w:spacing w:line="240" w:lineRule="auto"/>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新建</w:t>
            </w:r>
          </w:p>
        </w:tc>
      </w:tr>
      <w:tr w14:paraId="3B89C4C2">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23E3AD1C">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000000" w:sz="4" w:space="0"/>
              <w:right w:val="single" w:color="auto" w:sz="4" w:space="0"/>
            </w:tcBorders>
            <w:vAlign w:val="center"/>
          </w:tcPr>
          <w:p w14:paraId="70E38C3A">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noWrap/>
            <w:vAlign w:val="center"/>
          </w:tcPr>
          <w:p w14:paraId="3CA16B2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文档管理系统</w:t>
            </w:r>
          </w:p>
        </w:tc>
        <w:tc>
          <w:tcPr>
            <w:tcW w:w="615" w:type="dxa"/>
            <w:tcBorders>
              <w:top w:val="nil"/>
              <w:left w:val="nil"/>
              <w:bottom w:val="single" w:color="auto" w:sz="4" w:space="0"/>
              <w:right w:val="single" w:color="auto" w:sz="4" w:space="0"/>
            </w:tcBorders>
            <w:shd w:val="clear" w:color="auto" w:fill="auto"/>
            <w:noWrap/>
            <w:vAlign w:val="center"/>
          </w:tcPr>
          <w:p w14:paraId="4CC1568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4BA606B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tcBorders>
              <w:top w:val="nil"/>
              <w:left w:val="nil"/>
              <w:bottom w:val="single" w:color="auto" w:sz="4" w:space="0"/>
              <w:right w:val="single" w:color="auto" w:sz="4" w:space="0"/>
            </w:tcBorders>
            <w:shd w:val="clear" w:color="auto" w:fill="auto"/>
            <w:vAlign w:val="center"/>
          </w:tcPr>
          <w:p w14:paraId="04F36AB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乌拉特前旗人民医院</w:t>
            </w:r>
          </w:p>
        </w:tc>
        <w:tc>
          <w:tcPr>
            <w:tcW w:w="1297" w:type="dxa"/>
            <w:vMerge w:val="continue"/>
            <w:tcBorders>
              <w:left w:val="nil"/>
              <w:bottom w:val="single" w:color="auto" w:sz="4" w:space="0"/>
              <w:right w:val="single" w:color="auto" w:sz="4" w:space="0"/>
            </w:tcBorders>
            <w:vAlign w:val="center"/>
          </w:tcPr>
          <w:p w14:paraId="3AF60DE3">
            <w:pPr>
              <w:widowControl/>
              <w:spacing w:line="240" w:lineRule="auto"/>
              <w:jc w:val="center"/>
              <w:rPr>
                <w:rFonts w:cs="宋体" w:asciiTheme="minorEastAsia" w:hAnsiTheme="minorEastAsia" w:eastAsiaTheme="minorEastAsia"/>
                <w:color w:val="000000"/>
                <w:kern w:val="0"/>
                <w:szCs w:val="24"/>
              </w:rPr>
            </w:pPr>
          </w:p>
        </w:tc>
        <w:tc>
          <w:tcPr>
            <w:tcW w:w="765" w:type="dxa"/>
            <w:tcBorders>
              <w:top w:val="nil"/>
              <w:left w:val="nil"/>
              <w:bottom w:val="single" w:color="auto" w:sz="4" w:space="0"/>
              <w:right w:val="single" w:color="auto" w:sz="4" w:space="0"/>
            </w:tcBorders>
            <w:vAlign w:val="center"/>
          </w:tcPr>
          <w:p w14:paraId="7D403917">
            <w:pPr>
              <w:widowControl/>
              <w:spacing w:line="240" w:lineRule="auto"/>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新建</w:t>
            </w:r>
          </w:p>
        </w:tc>
      </w:tr>
      <w:tr w14:paraId="4640BC60">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554ED12F">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restart"/>
            <w:tcBorders>
              <w:top w:val="nil"/>
              <w:left w:val="single" w:color="auto" w:sz="4" w:space="0"/>
              <w:bottom w:val="single" w:color="000000" w:sz="4" w:space="0"/>
              <w:right w:val="single" w:color="auto" w:sz="4" w:space="0"/>
            </w:tcBorders>
            <w:shd w:val="clear" w:color="auto" w:fill="auto"/>
            <w:vAlign w:val="center"/>
          </w:tcPr>
          <w:p w14:paraId="769D81C4">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接口对接</w:t>
            </w:r>
          </w:p>
        </w:tc>
        <w:tc>
          <w:tcPr>
            <w:tcW w:w="2115" w:type="dxa"/>
            <w:tcBorders>
              <w:top w:val="nil"/>
              <w:left w:val="nil"/>
              <w:bottom w:val="single" w:color="auto" w:sz="4" w:space="0"/>
              <w:right w:val="single" w:color="auto" w:sz="4" w:space="0"/>
            </w:tcBorders>
            <w:shd w:val="clear" w:color="auto" w:fill="auto"/>
            <w:noWrap/>
            <w:vAlign w:val="center"/>
          </w:tcPr>
          <w:p w14:paraId="6D60629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乌拉特前旗医共体平台接口</w:t>
            </w:r>
          </w:p>
        </w:tc>
        <w:tc>
          <w:tcPr>
            <w:tcW w:w="615" w:type="dxa"/>
            <w:tcBorders>
              <w:top w:val="nil"/>
              <w:left w:val="nil"/>
              <w:bottom w:val="single" w:color="auto" w:sz="4" w:space="0"/>
              <w:right w:val="single" w:color="auto" w:sz="4" w:space="0"/>
            </w:tcBorders>
            <w:shd w:val="clear" w:color="auto" w:fill="auto"/>
            <w:noWrap/>
            <w:vAlign w:val="center"/>
          </w:tcPr>
          <w:p w14:paraId="55C060D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0C7FE342">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tcBorders>
              <w:top w:val="nil"/>
              <w:left w:val="nil"/>
              <w:bottom w:val="single" w:color="auto" w:sz="4" w:space="0"/>
              <w:right w:val="single" w:color="auto" w:sz="4" w:space="0"/>
            </w:tcBorders>
            <w:shd w:val="clear" w:color="auto" w:fill="auto"/>
            <w:vAlign w:val="center"/>
          </w:tcPr>
          <w:p w14:paraId="2BCC47A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　</w:t>
            </w:r>
          </w:p>
        </w:tc>
        <w:tc>
          <w:tcPr>
            <w:tcW w:w="1297" w:type="dxa"/>
            <w:vMerge w:val="restart"/>
            <w:tcBorders>
              <w:top w:val="single" w:color="auto" w:sz="4" w:space="0"/>
              <w:left w:val="single" w:color="auto" w:sz="4" w:space="0"/>
              <w:bottom w:val="single" w:color="auto" w:sz="4" w:space="0"/>
              <w:right w:val="single" w:color="auto" w:sz="4" w:space="0"/>
            </w:tcBorders>
            <w:vAlign w:val="center"/>
          </w:tcPr>
          <w:p w14:paraId="421378C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765" w:type="dxa"/>
            <w:tcBorders>
              <w:top w:val="nil"/>
              <w:left w:val="nil"/>
              <w:bottom w:val="single" w:color="auto" w:sz="4" w:space="0"/>
              <w:right w:val="single" w:color="auto" w:sz="4" w:space="0"/>
            </w:tcBorders>
            <w:vAlign w:val="center"/>
          </w:tcPr>
          <w:p w14:paraId="7DD5B705">
            <w:pPr>
              <w:widowControl/>
              <w:spacing w:line="240" w:lineRule="auto"/>
              <w:jc w:val="center"/>
              <w:rPr>
                <w:rFonts w:cs="宋体" w:asciiTheme="minorEastAsia" w:hAnsiTheme="minorEastAsia" w:eastAsiaTheme="minorEastAsia"/>
                <w:color w:val="000000"/>
                <w:kern w:val="0"/>
                <w:szCs w:val="24"/>
              </w:rPr>
            </w:pPr>
          </w:p>
        </w:tc>
      </w:tr>
      <w:tr w14:paraId="3F73E27B">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30E35E63">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000000" w:sz="4" w:space="0"/>
              <w:right w:val="single" w:color="auto" w:sz="4" w:space="0"/>
            </w:tcBorders>
            <w:vAlign w:val="center"/>
          </w:tcPr>
          <w:p w14:paraId="50ED3F0E">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noWrap/>
            <w:vAlign w:val="center"/>
          </w:tcPr>
          <w:p w14:paraId="0F82789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与乌拉特前旗人民医院院内系统接口对接</w:t>
            </w:r>
          </w:p>
        </w:tc>
        <w:tc>
          <w:tcPr>
            <w:tcW w:w="615" w:type="dxa"/>
            <w:tcBorders>
              <w:top w:val="nil"/>
              <w:left w:val="nil"/>
              <w:bottom w:val="single" w:color="auto" w:sz="4" w:space="0"/>
              <w:right w:val="single" w:color="auto" w:sz="4" w:space="0"/>
            </w:tcBorders>
            <w:shd w:val="clear" w:color="auto" w:fill="auto"/>
            <w:noWrap/>
            <w:vAlign w:val="center"/>
          </w:tcPr>
          <w:p w14:paraId="3FBCC46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1378E3D2">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tcBorders>
              <w:top w:val="nil"/>
              <w:left w:val="nil"/>
              <w:bottom w:val="single" w:color="auto" w:sz="4" w:space="0"/>
              <w:right w:val="single" w:color="auto" w:sz="4" w:space="0"/>
            </w:tcBorders>
            <w:shd w:val="clear" w:color="auto" w:fill="auto"/>
            <w:noWrap/>
            <w:vAlign w:val="center"/>
          </w:tcPr>
          <w:p w14:paraId="394F16D3">
            <w:pPr>
              <w:widowControl/>
              <w:spacing w:line="240" w:lineRule="auto"/>
              <w:jc w:val="left"/>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　</w:t>
            </w:r>
          </w:p>
        </w:tc>
        <w:tc>
          <w:tcPr>
            <w:tcW w:w="1297" w:type="dxa"/>
            <w:vMerge w:val="continue"/>
            <w:tcBorders>
              <w:top w:val="single" w:color="auto" w:sz="4" w:space="0"/>
              <w:left w:val="single" w:color="auto" w:sz="4" w:space="0"/>
              <w:bottom w:val="single" w:color="auto" w:sz="4" w:space="0"/>
              <w:right w:val="single" w:color="auto" w:sz="4" w:space="0"/>
            </w:tcBorders>
            <w:vAlign w:val="center"/>
          </w:tcPr>
          <w:p w14:paraId="45216556">
            <w:pPr>
              <w:widowControl/>
              <w:spacing w:line="240" w:lineRule="auto"/>
              <w:jc w:val="left"/>
              <w:rPr>
                <w:rFonts w:cs="宋体" w:asciiTheme="minorEastAsia" w:hAnsiTheme="minorEastAsia" w:eastAsiaTheme="minorEastAsia"/>
                <w:b/>
                <w:bCs/>
                <w:color w:val="000000"/>
                <w:kern w:val="0"/>
                <w:szCs w:val="24"/>
              </w:rPr>
            </w:pPr>
          </w:p>
        </w:tc>
        <w:tc>
          <w:tcPr>
            <w:tcW w:w="765" w:type="dxa"/>
            <w:tcBorders>
              <w:top w:val="nil"/>
              <w:left w:val="nil"/>
              <w:bottom w:val="single" w:color="auto" w:sz="4" w:space="0"/>
              <w:right w:val="single" w:color="auto" w:sz="4" w:space="0"/>
            </w:tcBorders>
            <w:vAlign w:val="center"/>
          </w:tcPr>
          <w:p w14:paraId="5A872FDF">
            <w:pPr>
              <w:widowControl/>
              <w:spacing w:line="240" w:lineRule="auto"/>
              <w:jc w:val="left"/>
              <w:rPr>
                <w:rFonts w:cs="宋体" w:asciiTheme="minorEastAsia" w:hAnsiTheme="minorEastAsia" w:eastAsiaTheme="minorEastAsia"/>
                <w:b/>
                <w:bCs/>
                <w:color w:val="000000"/>
                <w:kern w:val="0"/>
                <w:szCs w:val="24"/>
              </w:rPr>
            </w:pPr>
          </w:p>
        </w:tc>
      </w:tr>
      <w:tr w14:paraId="067607C7">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42116AA6">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000000" w:sz="4" w:space="0"/>
              <w:right w:val="single" w:color="auto" w:sz="4" w:space="0"/>
            </w:tcBorders>
            <w:vAlign w:val="center"/>
          </w:tcPr>
          <w:p w14:paraId="4BD3128D">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noWrap/>
            <w:vAlign w:val="center"/>
          </w:tcPr>
          <w:p w14:paraId="3519A4A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与乌拉特前旗中蒙医院院内系统接口对接</w:t>
            </w:r>
          </w:p>
        </w:tc>
        <w:tc>
          <w:tcPr>
            <w:tcW w:w="615" w:type="dxa"/>
            <w:tcBorders>
              <w:top w:val="nil"/>
              <w:left w:val="nil"/>
              <w:bottom w:val="single" w:color="auto" w:sz="4" w:space="0"/>
              <w:right w:val="single" w:color="auto" w:sz="4" w:space="0"/>
            </w:tcBorders>
            <w:shd w:val="clear" w:color="auto" w:fill="auto"/>
            <w:noWrap/>
            <w:vAlign w:val="center"/>
          </w:tcPr>
          <w:p w14:paraId="7CDE407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04066FB0">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tcBorders>
              <w:top w:val="nil"/>
              <w:left w:val="nil"/>
              <w:bottom w:val="single" w:color="auto" w:sz="4" w:space="0"/>
              <w:right w:val="single" w:color="auto" w:sz="4" w:space="0"/>
            </w:tcBorders>
            <w:shd w:val="clear" w:color="auto" w:fill="auto"/>
            <w:noWrap/>
            <w:vAlign w:val="center"/>
          </w:tcPr>
          <w:p w14:paraId="034D7B87">
            <w:pPr>
              <w:widowControl/>
              <w:spacing w:line="240" w:lineRule="auto"/>
              <w:jc w:val="left"/>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　</w:t>
            </w:r>
          </w:p>
        </w:tc>
        <w:tc>
          <w:tcPr>
            <w:tcW w:w="1297" w:type="dxa"/>
            <w:vMerge w:val="continue"/>
            <w:tcBorders>
              <w:top w:val="single" w:color="auto" w:sz="4" w:space="0"/>
              <w:left w:val="single" w:color="auto" w:sz="4" w:space="0"/>
              <w:bottom w:val="single" w:color="auto" w:sz="4" w:space="0"/>
              <w:right w:val="single" w:color="auto" w:sz="4" w:space="0"/>
            </w:tcBorders>
            <w:vAlign w:val="center"/>
          </w:tcPr>
          <w:p w14:paraId="4FAB7CE5">
            <w:pPr>
              <w:widowControl/>
              <w:spacing w:line="240" w:lineRule="auto"/>
              <w:jc w:val="left"/>
              <w:rPr>
                <w:rFonts w:cs="宋体" w:asciiTheme="minorEastAsia" w:hAnsiTheme="minorEastAsia" w:eastAsiaTheme="minorEastAsia"/>
                <w:b/>
                <w:bCs/>
                <w:color w:val="000000"/>
                <w:kern w:val="0"/>
                <w:szCs w:val="24"/>
              </w:rPr>
            </w:pPr>
          </w:p>
        </w:tc>
        <w:tc>
          <w:tcPr>
            <w:tcW w:w="765" w:type="dxa"/>
            <w:tcBorders>
              <w:top w:val="nil"/>
              <w:left w:val="nil"/>
              <w:bottom w:val="single" w:color="auto" w:sz="4" w:space="0"/>
              <w:right w:val="single" w:color="auto" w:sz="4" w:space="0"/>
            </w:tcBorders>
            <w:vAlign w:val="center"/>
          </w:tcPr>
          <w:p w14:paraId="6279FDDF">
            <w:pPr>
              <w:widowControl/>
              <w:spacing w:line="240" w:lineRule="auto"/>
              <w:jc w:val="left"/>
              <w:rPr>
                <w:rFonts w:cs="宋体" w:asciiTheme="minorEastAsia" w:hAnsiTheme="minorEastAsia" w:eastAsiaTheme="minorEastAsia"/>
                <w:b/>
                <w:bCs/>
                <w:color w:val="000000"/>
                <w:kern w:val="0"/>
                <w:szCs w:val="24"/>
              </w:rPr>
            </w:pPr>
          </w:p>
        </w:tc>
      </w:tr>
      <w:tr w14:paraId="726AEBD6">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2F6AD7E3">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000000" w:sz="4" w:space="0"/>
              <w:right w:val="single" w:color="auto" w:sz="4" w:space="0"/>
            </w:tcBorders>
            <w:vAlign w:val="center"/>
          </w:tcPr>
          <w:p w14:paraId="61098331">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noWrap/>
            <w:vAlign w:val="center"/>
          </w:tcPr>
          <w:p w14:paraId="58C86D4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与乌拉特前旗妇幼保健计划生育服务中心内部系统接口对接</w:t>
            </w:r>
          </w:p>
        </w:tc>
        <w:tc>
          <w:tcPr>
            <w:tcW w:w="615" w:type="dxa"/>
            <w:tcBorders>
              <w:top w:val="nil"/>
              <w:left w:val="nil"/>
              <w:bottom w:val="single" w:color="auto" w:sz="4" w:space="0"/>
              <w:right w:val="single" w:color="auto" w:sz="4" w:space="0"/>
            </w:tcBorders>
            <w:shd w:val="clear" w:color="auto" w:fill="auto"/>
            <w:noWrap/>
            <w:vAlign w:val="center"/>
          </w:tcPr>
          <w:p w14:paraId="71B890F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5D3673F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tcBorders>
              <w:top w:val="nil"/>
              <w:left w:val="nil"/>
              <w:bottom w:val="single" w:color="auto" w:sz="4" w:space="0"/>
              <w:right w:val="single" w:color="auto" w:sz="4" w:space="0"/>
            </w:tcBorders>
            <w:shd w:val="clear" w:color="auto" w:fill="auto"/>
            <w:noWrap/>
            <w:vAlign w:val="center"/>
          </w:tcPr>
          <w:p w14:paraId="65040AC3">
            <w:pPr>
              <w:widowControl/>
              <w:spacing w:line="240" w:lineRule="auto"/>
              <w:jc w:val="left"/>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　</w:t>
            </w:r>
          </w:p>
        </w:tc>
        <w:tc>
          <w:tcPr>
            <w:tcW w:w="1297" w:type="dxa"/>
            <w:vMerge w:val="continue"/>
            <w:tcBorders>
              <w:top w:val="single" w:color="auto" w:sz="4" w:space="0"/>
              <w:left w:val="single" w:color="auto" w:sz="4" w:space="0"/>
              <w:bottom w:val="single" w:color="auto" w:sz="4" w:space="0"/>
              <w:right w:val="single" w:color="auto" w:sz="4" w:space="0"/>
            </w:tcBorders>
            <w:vAlign w:val="center"/>
          </w:tcPr>
          <w:p w14:paraId="7C987431">
            <w:pPr>
              <w:widowControl/>
              <w:spacing w:line="240" w:lineRule="auto"/>
              <w:jc w:val="left"/>
              <w:rPr>
                <w:rFonts w:cs="宋体" w:asciiTheme="minorEastAsia" w:hAnsiTheme="minorEastAsia" w:eastAsiaTheme="minorEastAsia"/>
                <w:b/>
                <w:bCs/>
                <w:color w:val="000000"/>
                <w:kern w:val="0"/>
                <w:szCs w:val="24"/>
              </w:rPr>
            </w:pPr>
          </w:p>
        </w:tc>
        <w:tc>
          <w:tcPr>
            <w:tcW w:w="765" w:type="dxa"/>
            <w:tcBorders>
              <w:top w:val="nil"/>
              <w:left w:val="nil"/>
              <w:bottom w:val="single" w:color="auto" w:sz="4" w:space="0"/>
              <w:right w:val="single" w:color="auto" w:sz="4" w:space="0"/>
            </w:tcBorders>
            <w:vAlign w:val="center"/>
          </w:tcPr>
          <w:p w14:paraId="4A2D6B3F">
            <w:pPr>
              <w:widowControl/>
              <w:spacing w:line="240" w:lineRule="auto"/>
              <w:jc w:val="left"/>
              <w:rPr>
                <w:rFonts w:cs="宋体" w:asciiTheme="minorEastAsia" w:hAnsiTheme="minorEastAsia" w:eastAsiaTheme="minorEastAsia"/>
                <w:b/>
                <w:bCs/>
                <w:color w:val="000000"/>
                <w:kern w:val="0"/>
                <w:szCs w:val="24"/>
              </w:rPr>
            </w:pPr>
          </w:p>
        </w:tc>
      </w:tr>
      <w:tr w14:paraId="18420E42">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55F4A592">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640C90D1">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noWrap/>
            <w:vAlign w:val="center"/>
          </w:tcPr>
          <w:p w14:paraId="0BCC291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与乌拉特前旗基层机构内部系统接口对接</w:t>
            </w:r>
          </w:p>
        </w:tc>
        <w:tc>
          <w:tcPr>
            <w:tcW w:w="615" w:type="dxa"/>
            <w:tcBorders>
              <w:top w:val="nil"/>
              <w:left w:val="nil"/>
              <w:bottom w:val="single" w:color="auto" w:sz="4" w:space="0"/>
              <w:right w:val="single" w:color="auto" w:sz="4" w:space="0"/>
            </w:tcBorders>
            <w:shd w:val="clear" w:color="auto" w:fill="auto"/>
            <w:noWrap/>
            <w:vAlign w:val="center"/>
          </w:tcPr>
          <w:p w14:paraId="24632E02">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38B3CAD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tcBorders>
              <w:top w:val="nil"/>
              <w:left w:val="nil"/>
              <w:bottom w:val="single" w:color="auto" w:sz="4" w:space="0"/>
              <w:right w:val="single" w:color="auto" w:sz="4" w:space="0"/>
            </w:tcBorders>
            <w:shd w:val="clear" w:color="auto" w:fill="auto"/>
            <w:noWrap/>
            <w:vAlign w:val="center"/>
          </w:tcPr>
          <w:p w14:paraId="1C940B97">
            <w:pPr>
              <w:widowControl/>
              <w:spacing w:line="240" w:lineRule="auto"/>
              <w:jc w:val="left"/>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　</w:t>
            </w:r>
          </w:p>
        </w:tc>
        <w:tc>
          <w:tcPr>
            <w:tcW w:w="1297" w:type="dxa"/>
            <w:vMerge w:val="continue"/>
            <w:tcBorders>
              <w:top w:val="single" w:color="auto" w:sz="4" w:space="0"/>
              <w:left w:val="single" w:color="auto" w:sz="4" w:space="0"/>
              <w:bottom w:val="single" w:color="auto" w:sz="4" w:space="0"/>
              <w:right w:val="single" w:color="auto" w:sz="4" w:space="0"/>
            </w:tcBorders>
            <w:vAlign w:val="center"/>
          </w:tcPr>
          <w:p w14:paraId="242F2FC5">
            <w:pPr>
              <w:widowControl/>
              <w:spacing w:line="240" w:lineRule="auto"/>
              <w:jc w:val="left"/>
              <w:rPr>
                <w:rFonts w:cs="宋体" w:asciiTheme="minorEastAsia" w:hAnsiTheme="minorEastAsia" w:eastAsiaTheme="minorEastAsia"/>
                <w:b/>
                <w:bCs/>
                <w:color w:val="000000"/>
                <w:kern w:val="0"/>
                <w:szCs w:val="24"/>
              </w:rPr>
            </w:pPr>
          </w:p>
        </w:tc>
        <w:tc>
          <w:tcPr>
            <w:tcW w:w="765" w:type="dxa"/>
            <w:tcBorders>
              <w:top w:val="nil"/>
              <w:left w:val="nil"/>
              <w:bottom w:val="single" w:color="auto" w:sz="4" w:space="0"/>
              <w:right w:val="single" w:color="auto" w:sz="4" w:space="0"/>
            </w:tcBorders>
            <w:vAlign w:val="center"/>
          </w:tcPr>
          <w:p w14:paraId="59D65B9B">
            <w:pPr>
              <w:widowControl/>
              <w:spacing w:line="240" w:lineRule="auto"/>
              <w:jc w:val="left"/>
              <w:rPr>
                <w:rFonts w:cs="宋体" w:asciiTheme="minorEastAsia" w:hAnsiTheme="minorEastAsia" w:eastAsiaTheme="minorEastAsia"/>
                <w:b/>
                <w:bCs/>
                <w:color w:val="000000"/>
                <w:kern w:val="0"/>
                <w:szCs w:val="24"/>
              </w:rPr>
            </w:pPr>
          </w:p>
        </w:tc>
      </w:tr>
      <w:tr w14:paraId="5F11FABE">
        <w:tblPrEx>
          <w:tblCellMar>
            <w:top w:w="0" w:type="dxa"/>
            <w:left w:w="108" w:type="dxa"/>
            <w:bottom w:w="0" w:type="dxa"/>
            <w:right w:w="108" w:type="dxa"/>
          </w:tblCellMar>
        </w:tblPrEx>
        <w:trPr>
          <w:trHeight w:val="340" w:hRule="atLeast"/>
        </w:trPr>
        <w:tc>
          <w:tcPr>
            <w:tcW w:w="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32C8C16">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single" w:color="auto" w:sz="4" w:space="0"/>
              <w:left w:val="single" w:color="auto" w:sz="4" w:space="0"/>
              <w:bottom w:val="single" w:color="auto" w:sz="4" w:space="0"/>
              <w:right w:val="single" w:color="auto" w:sz="4" w:space="0"/>
            </w:tcBorders>
            <w:vAlign w:val="center"/>
          </w:tcPr>
          <w:p w14:paraId="4BCABA35">
            <w:pPr>
              <w:widowControl/>
              <w:spacing w:line="240" w:lineRule="auto"/>
              <w:jc w:val="left"/>
              <w:rPr>
                <w:rFonts w:cs="宋体" w:asciiTheme="minorEastAsia" w:hAnsiTheme="minorEastAsia" w:eastAsiaTheme="minorEastAsia"/>
                <w:color w:val="000000"/>
                <w:kern w:val="0"/>
                <w:szCs w:val="24"/>
              </w:rPr>
            </w:pPr>
          </w:p>
        </w:tc>
        <w:tc>
          <w:tcPr>
            <w:tcW w:w="211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8FC99F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与国家各上报系统的接口</w:t>
            </w:r>
          </w:p>
        </w:tc>
        <w:tc>
          <w:tcPr>
            <w:tcW w:w="61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D43BB4">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A8A00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96D6C16">
            <w:pPr>
              <w:widowControl/>
              <w:spacing w:line="240" w:lineRule="auto"/>
              <w:jc w:val="left"/>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　</w:t>
            </w:r>
          </w:p>
        </w:tc>
        <w:tc>
          <w:tcPr>
            <w:tcW w:w="1297" w:type="dxa"/>
            <w:vMerge w:val="continue"/>
            <w:tcBorders>
              <w:top w:val="single" w:color="auto" w:sz="4" w:space="0"/>
              <w:left w:val="single" w:color="auto" w:sz="4" w:space="0"/>
              <w:bottom w:val="single" w:color="auto" w:sz="4" w:space="0"/>
              <w:right w:val="single" w:color="auto" w:sz="4" w:space="0"/>
            </w:tcBorders>
            <w:vAlign w:val="center"/>
          </w:tcPr>
          <w:p w14:paraId="5E6CFF5C">
            <w:pPr>
              <w:widowControl/>
              <w:spacing w:line="240" w:lineRule="auto"/>
              <w:jc w:val="left"/>
              <w:rPr>
                <w:rFonts w:cs="宋体" w:asciiTheme="minorEastAsia" w:hAnsiTheme="minorEastAsia" w:eastAsiaTheme="minorEastAsia"/>
                <w:b/>
                <w:bCs/>
                <w:color w:val="000000"/>
                <w:kern w:val="0"/>
                <w:szCs w:val="24"/>
              </w:rPr>
            </w:pPr>
          </w:p>
        </w:tc>
        <w:tc>
          <w:tcPr>
            <w:tcW w:w="765" w:type="dxa"/>
            <w:tcBorders>
              <w:top w:val="single" w:color="auto" w:sz="4" w:space="0"/>
              <w:left w:val="single" w:color="auto" w:sz="4" w:space="0"/>
              <w:bottom w:val="single" w:color="auto" w:sz="4" w:space="0"/>
              <w:right w:val="single" w:color="auto" w:sz="4" w:space="0"/>
            </w:tcBorders>
            <w:vAlign w:val="center"/>
          </w:tcPr>
          <w:p w14:paraId="4F7A3C62">
            <w:pPr>
              <w:widowControl/>
              <w:spacing w:line="240" w:lineRule="auto"/>
              <w:jc w:val="left"/>
              <w:rPr>
                <w:rFonts w:cs="宋体" w:asciiTheme="minorEastAsia" w:hAnsiTheme="minorEastAsia" w:eastAsiaTheme="minorEastAsia"/>
                <w:b/>
                <w:bCs/>
                <w:color w:val="000000"/>
                <w:kern w:val="0"/>
                <w:szCs w:val="24"/>
              </w:rPr>
            </w:pPr>
          </w:p>
        </w:tc>
      </w:tr>
    </w:tbl>
    <w:p w14:paraId="229FC339">
      <w:bookmarkStart w:id="4" w:name="_Toc202539052"/>
    </w:p>
    <w:p w14:paraId="71660743"/>
    <w:p w14:paraId="20119FA4">
      <w:pPr>
        <w:numPr>
          <w:ilvl w:val="0"/>
          <w:numId w:val="12"/>
        </w:numPr>
        <w:rPr>
          <w:b/>
          <w:bCs/>
          <w:sz w:val="44"/>
          <w:szCs w:val="44"/>
        </w:rPr>
      </w:pPr>
      <w:r>
        <w:rPr>
          <w:rFonts w:hint="eastAsia"/>
          <w:b/>
          <w:bCs/>
          <w:sz w:val="44"/>
          <w:szCs w:val="44"/>
        </w:rPr>
        <w:t>硬件建设清单</w:t>
      </w:r>
    </w:p>
    <w:tbl>
      <w:tblPr>
        <w:tblStyle w:val="42"/>
        <w:tblW w:w="9967" w:type="dxa"/>
        <w:tblInd w:w="-529" w:type="dxa"/>
        <w:tblLayout w:type="fixed"/>
        <w:tblCellMar>
          <w:top w:w="0" w:type="dxa"/>
          <w:left w:w="108" w:type="dxa"/>
          <w:bottom w:w="0" w:type="dxa"/>
          <w:right w:w="108" w:type="dxa"/>
        </w:tblCellMar>
      </w:tblPr>
      <w:tblGrid>
        <w:gridCol w:w="870"/>
        <w:gridCol w:w="3247"/>
        <w:gridCol w:w="3510"/>
        <w:gridCol w:w="1050"/>
        <w:gridCol w:w="1290"/>
      </w:tblGrid>
      <w:tr w14:paraId="356F9E86">
        <w:tblPrEx>
          <w:tblCellMar>
            <w:top w:w="0" w:type="dxa"/>
            <w:left w:w="108" w:type="dxa"/>
            <w:bottom w:w="0" w:type="dxa"/>
            <w:right w:w="108" w:type="dxa"/>
          </w:tblCellMar>
        </w:tblPrEx>
        <w:trPr>
          <w:trHeight w:val="699"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A10A4F3">
            <w:pPr>
              <w:pStyle w:val="70"/>
              <w:widowControl/>
              <w:spacing w:line="240" w:lineRule="auto"/>
              <w:ind w:firstLine="0" w:firstLineChars="0"/>
              <w:jc w:val="center"/>
              <w:rPr>
                <w:rFonts w:cs="宋体" w:asciiTheme="minorEastAsia" w:hAnsiTheme="minorEastAsia" w:eastAsiaTheme="minorEastAsia"/>
                <w:color w:val="000000"/>
                <w:kern w:val="0"/>
                <w:sz w:val="28"/>
                <w:szCs w:val="28"/>
              </w:rPr>
            </w:pPr>
            <w:r>
              <w:rPr>
                <w:rFonts w:hint="eastAsia" w:cs="宋体" w:asciiTheme="minorEastAsia" w:hAnsiTheme="minorEastAsia" w:eastAsiaTheme="minorEastAsia"/>
                <w:color w:val="000000"/>
                <w:kern w:val="0"/>
                <w:sz w:val="28"/>
                <w:szCs w:val="28"/>
              </w:rPr>
              <w:t>序号</w:t>
            </w: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1BBC44B4">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b/>
                <w:bCs/>
                <w:color w:val="000000"/>
                <w:kern w:val="0"/>
                <w:szCs w:val="24"/>
              </w:rPr>
              <w:t>设备名称</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7030A3">
            <w:pPr>
              <w:widowControl/>
              <w:jc w:val="center"/>
              <w:textAlignment w:val="center"/>
              <w:rPr>
                <w:rFonts w:ascii="宋体" w:hAnsi="宋体" w:cs="宋体"/>
                <w:b/>
                <w:bCs/>
                <w:color w:val="000000"/>
                <w:sz w:val="22"/>
              </w:rPr>
            </w:pPr>
            <w:r>
              <w:rPr>
                <w:rFonts w:hint="eastAsia" w:ascii="宋体" w:hAnsi="宋体" w:cs="宋体"/>
                <w:b/>
                <w:bCs/>
                <w:color w:val="000000"/>
                <w:kern w:val="0"/>
                <w:sz w:val="22"/>
                <w:lang w:bidi="ar"/>
              </w:rPr>
              <w:t>主要性能指标</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F73300">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数量</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266302">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单位</w:t>
            </w:r>
          </w:p>
        </w:tc>
      </w:tr>
      <w:tr w14:paraId="03D7097D">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97F30BC">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1D5049D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医共体核心交换机</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8B1A7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AEE10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2</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132607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6573658C">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2439708">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198EF4B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二层可管理交换机（附带光模块）</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CDAD4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D2FA22">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40</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C2953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682A1F2D">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4056AEE">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343B3A1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医共体防火墙</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E8BADE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BA01B5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B622D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52DD5C11">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C14D8D4">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vAlign w:val="center"/>
          </w:tcPr>
          <w:p w14:paraId="442360E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展示大屏</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BE023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5FE558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5</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F100354">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160FB894">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AC81213">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vAlign w:val="center"/>
          </w:tcPr>
          <w:p w14:paraId="7A0629E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展示大屏</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1E5DD6">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F250E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3</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07822D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0BCBE440">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51958E">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vAlign w:val="center"/>
          </w:tcPr>
          <w:p w14:paraId="7598AC7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展示大屏</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BBDCF7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8E44E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2</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936B97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4495CCCE">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BA98B4F">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6813DAF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协同门诊话筒摄像头音响</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A71B66">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9129DA">
            <w:pPr>
              <w:widowControl/>
              <w:jc w:val="center"/>
              <w:textAlignment w:val="center"/>
              <w:rPr>
                <w:rFonts w:ascii="宋体" w:hAnsi="宋体" w:cs="宋体"/>
                <w:color w:val="000000"/>
                <w:sz w:val="22"/>
              </w:rPr>
            </w:pPr>
            <w:r>
              <w:rPr>
                <w:rFonts w:hint="eastAsia" w:ascii="宋体" w:hAnsi="宋体" w:cs="宋体"/>
                <w:color w:val="000000"/>
                <w:kern w:val="0"/>
                <w:sz w:val="22"/>
                <w:lang w:bidi="ar"/>
              </w:rPr>
              <w:t>280</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A5C4E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r>
      <w:tr w14:paraId="5F3396DB">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D68247">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78F6396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光模块</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3DD8BF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C340B6D">
            <w:pPr>
              <w:widowControl/>
              <w:jc w:val="center"/>
              <w:textAlignment w:val="center"/>
              <w:rPr>
                <w:rFonts w:ascii="宋体" w:hAnsi="宋体" w:cs="宋体"/>
                <w:color w:val="000000"/>
                <w:sz w:val="22"/>
              </w:rPr>
            </w:pPr>
            <w:r>
              <w:rPr>
                <w:rFonts w:hint="eastAsia" w:ascii="宋体" w:hAnsi="宋体" w:cs="宋体"/>
                <w:color w:val="000000"/>
                <w:kern w:val="0"/>
                <w:sz w:val="22"/>
                <w:lang w:bidi="ar"/>
              </w:rPr>
              <w:t>192</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A4CC4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个</w:t>
            </w:r>
          </w:p>
        </w:tc>
      </w:tr>
      <w:tr w14:paraId="7AE6E2E2">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D70E4ED">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7D2AC444">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SSL-VPN</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3A4DA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EA75940">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DCB2DB">
            <w:pPr>
              <w:widowControl/>
              <w:jc w:val="center"/>
              <w:textAlignment w:val="center"/>
              <w:rPr>
                <w:rFonts w:ascii="宋体" w:hAnsi="宋体" w:cs="宋体"/>
                <w:color w:val="000000"/>
                <w:sz w:val="22"/>
              </w:rPr>
            </w:pPr>
            <w:r>
              <w:rPr>
                <w:rFonts w:hint="eastAsia" w:ascii="宋体" w:hAnsi="宋体" w:cs="宋体"/>
                <w:color w:val="000000"/>
                <w:kern w:val="0"/>
                <w:sz w:val="22"/>
                <w:lang w:bidi="ar"/>
              </w:rPr>
              <w:t>套</w:t>
            </w:r>
          </w:p>
        </w:tc>
      </w:tr>
      <w:tr w14:paraId="02AFF8AF">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241ED0D">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1858AE2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数据备份一体机</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73B73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C5A280A">
            <w:pPr>
              <w:widowControl/>
              <w:jc w:val="center"/>
              <w:textAlignment w:val="center"/>
              <w:rPr>
                <w:rFonts w:ascii="宋体" w:hAnsi="宋体" w:cs="宋体"/>
                <w:color w:val="000000"/>
                <w:sz w:val="22"/>
              </w:rPr>
            </w:pPr>
            <w:r>
              <w:rPr>
                <w:rFonts w:hint="eastAsia" w:ascii="宋体" w:hAnsi="宋体" w:cs="宋体"/>
                <w:color w:val="000000"/>
                <w:kern w:val="0"/>
                <w:sz w:val="22"/>
                <w:lang w:bidi="ar"/>
              </w:rPr>
              <w:t>1</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20799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6DECA635">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C0E225">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74F0FBC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网络安全服务包含配套设备外网网络入口攻击防护服务平台</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E8CEF2">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EAB628">
            <w:pPr>
              <w:widowControl/>
              <w:jc w:val="center"/>
              <w:textAlignment w:val="center"/>
              <w:rPr>
                <w:rFonts w:ascii="宋体" w:hAnsi="宋体" w:cs="宋体"/>
                <w:color w:val="000000"/>
                <w:sz w:val="22"/>
              </w:rPr>
            </w:pPr>
            <w:r>
              <w:rPr>
                <w:rFonts w:hint="eastAsia" w:ascii="宋体" w:hAnsi="宋体" w:cs="宋体"/>
                <w:color w:val="000000"/>
                <w:kern w:val="0"/>
                <w:sz w:val="22"/>
                <w:lang w:bidi="ar"/>
              </w:rPr>
              <w:t>1</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E98424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42123BA0">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451C6CE">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59BB7C2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内网网络边界攻击防护服务平台</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2E43C65">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5DC16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C0C7F6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66F78197">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2AFC423">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43009E95">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专线网络入口攻击防护服务平台</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59BC8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D4E7A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CEAEA7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0B0199A4">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70CA66F">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43D24D2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安全区域数据交换传输设备</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A1A4C4">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828C51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8F6BC94">
            <w:pPr>
              <w:widowControl/>
              <w:jc w:val="center"/>
              <w:textAlignment w:val="center"/>
              <w:rPr>
                <w:rFonts w:ascii="宋体" w:hAnsi="宋体" w:cs="宋体"/>
                <w:color w:val="000000"/>
                <w:sz w:val="22"/>
              </w:rPr>
            </w:pPr>
            <w:r>
              <w:rPr>
                <w:rFonts w:hint="eastAsia" w:ascii="宋体" w:hAnsi="宋体" w:cs="宋体"/>
                <w:color w:val="000000"/>
                <w:kern w:val="0"/>
                <w:sz w:val="22"/>
                <w:lang w:bidi="ar"/>
              </w:rPr>
              <w:t>台</w:t>
            </w:r>
          </w:p>
        </w:tc>
      </w:tr>
      <w:tr w14:paraId="0357843C">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C575C96">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05B846A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终端设备应用行为管理控制平台</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B2E746">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8419FA2">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DF17A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675F38C4">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ED0595">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35A21C9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安全感知管理平台</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36C8C2">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D00B42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39D9BA5">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05F9A1D8">
        <w:tblPrEx>
          <w:tblCellMar>
            <w:top w:w="0" w:type="dxa"/>
            <w:left w:w="108" w:type="dxa"/>
            <w:bottom w:w="0" w:type="dxa"/>
            <w:right w:w="108" w:type="dxa"/>
          </w:tblCellMar>
        </w:tblPrEx>
        <w:trPr>
          <w:trHeight w:val="564"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7FFC0C">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031CF312">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网络漏洞监测扫描平台</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20928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0B1D7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634F50">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406C3830">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E75F39">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1CF8BED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NTP时间同步服务平台</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F41E1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E51802">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4DD7184">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1C0924DB">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A8259E">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2DC08A4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杀毒软件</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D229E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14DAF6">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F4642CE">
            <w:pPr>
              <w:widowControl/>
              <w:jc w:val="center"/>
              <w:textAlignment w:val="center"/>
              <w:rPr>
                <w:rFonts w:ascii="宋体" w:hAnsi="宋体" w:cs="宋体"/>
                <w:color w:val="000000"/>
                <w:sz w:val="22"/>
              </w:rPr>
            </w:pPr>
            <w:r>
              <w:rPr>
                <w:rFonts w:hint="eastAsia" w:ascii="宋体" w:hAnsi="宋体" w:cs="宋体"/>
                <w:color w:val="000000"/>
                <w:kern w:val="0"/>
                <w:sz w:val="22"/>
                <w:lang w:bidi="ar"/>
              </w:rPr>
              <w:t>套</w:t>
            </w:r>
          </w:p>
        </w:tc>
      </w:tr>
      <w:tr w14:paraId="290E6552">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178C66">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050A2536">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桌面可管理系统</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216A482">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A3DA9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71A7EF0">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r>
    </w:tbl>
    <w:p w14:paraId="35598228"/>
    <w:p w14:paraId="637465CC">
      <w:pPr>
        <w:rPr>
          <w:b/>
          <w:bCs/>
          <w:sz w:val="44"/>
          <w:szCs w:val="44"/>
        </w:rPr>
      </w:pPr>
      <w:r>
        <w:rPr>
          <w:rFonts w:hint="eastAsia"/>
          <w:b/>
          <w:bCs/>
          <w:sz w:val="44"/>
          <w:szCs w:val="44"/>
        </w:rPr>
        <w:t>三、云资源（租赁）</w:t>
      </w:r>
    </w:p>
    <w:tbl>
      <w:tblPr>
        <w:tblStyle w:val="42"/>
        <w:tblW w:w="9907" w:type="dxa"/>
        <w:tblInd w:w="-529" w:type="dxa"/>
        <w:tblLayout w:type="fixed"/>
        <w:tblCellMar>
          <w:top w:w="0" w:type="dxa"/>
          <w:left w:w="108" w:type="dxa"/>
          <w:bottom w:w="0" w:type="dxa"/>
          <w:right w:w="108" w:type="dxa"/>
        </w:tblCellMar>
      </w:tblPr>
      <w:tblGrid>
        <w:gridCol w:w="930"/>
        <w:gridCol w:w="3172"/>
        <w:gridCol w:w="3540"/>
        <w:gridCol w:w="1080"/>
        <w:gridCol w:w="1185"/>
      </w:tblGrid>
      <w:tr w14:paraId="777A5B20">
        <w:tblPrEx>
          <w:tblCellMar>
            <w:top w:w="0" w:type="dxa"/>
            <w:left w:w="108" w:type="dxa"/>
            <w:bottom w:w="0" w:type="dxa"/>
            <w:right w:w="108" w:type="dxa"/>
          </w:tblCellMar>
        </w:tblPrEx>
        <w:trPr>
          <w:trHeight w:val="340" w:hRule="atLeast"/>
        </w:trPr>
        <w:tc>
          <w:tcPr>
            <w:tcW w:w="9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346BF2D">
            <w:pPr>
              <w:pStyle w:val="70"/>
              <w:widowControl/>
              <w:spacing w:line="240" w:lineRule="auto"/>
              <w:ind w:firstLine="0" w:firstLineChars="0"/>
              <w:rPr>
                <w:rFonts w:cs="宋体" w:asciiTheme="minorEastAsia" w:hAnsiTheme="minorEastAsia" w:eastAsiaTheme="minorEastAsia"/>
                <w:b/>
                <w:bCs/>
                <w:color w:val="000000"/>
                <w:kern w:val="0"/>
                <w:sz w:val="28"/>
                <w:szCs w:val="28"/>
              </w:rPr>
            </w:pPr>
            <w:r>
              <w:rPr>
                <w:rFonts w:hint="eastAsia" w:cs="宋体" w:asciiTheme="minorEastAsia" w:hAnsiTheme="minorEastAsia" w:eastAsiaTheme="minorEastAsia"/>
                <w:b/>
                <w:bCs/>
                <w:color w:val="000000"/>
                <w:kern w:val="0"/>
                <w:sz w:val="28"/>
                <w:szCs w:val="28"/>
              </w:rPr>
              <w:t>序号</w:t>
            </w:r>
          </w:p>
        </w:tc>
        <w:tc>
          <w:tcPr>
            <w:tcW w:w="3172" w:type="dxa"/>
            <w:tcBorders>
              <w:top w:val="single" w:color="auto" w:sz="4" w:space="0"/>
              <w:left w:val="single" w:color="auto" w:sz="4" w:space="0"/>
              <w:bottom w:val="single" w:color="auto" w:sz="4" w:space="0"/>
              <w:right w:val="single" w:color="auto" w:sz="4" w:space="0"/>
            </w:tcBorders>
            <w:vAlign w:val="center"/>
          </w:tcPr>
          <w:p w14:paraId="0D058E8B">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名称</w:t>
            </w:r>
          </w:p>
        </w:tc>
        <w:tc>
          <w:tcPr>
            <w:tcW w:w="35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510CC0">
            <w:pPr>
              <w:widowControl/>
              <w:spacing w:line="240" w:lineRule="auto"/>
              <w:jc w:val="center"/>
              <w:rPr>
                <w:rFonts w:cs="宋体" w:asciiTheme="minorEastAsia" w:hAnsiTheme="minorEastAsia" w:eastAsiaTheme="minorEastAsia"/>
                <w:b/>
                <w:bCs/>
                <w:color w:val="000000"/>
                <w:kern w:val="0"/>
                <w:szCs w:val="24"/>
              </w:rPr>
            </w:pPr>
            <w:r>
              <w:rPr>
                <w:rFonts w:hint="eastAsia" w:ascii="宋体" w:hAnsi="宋体" w:cs="宋体"/>
                <w:b/>
                <w:bCs/>
                <w:color w:val="000000"/>
                <w:kern w:val="0"/>
                <w:sz w:val="22"/>
                <w:lang w:bidi="ar"/>
              </w:rPr>
              <w:t>主要性能指标</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2B6872E">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数量</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215408A">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单位</w:t>
            </w:r>
          </w:p>
        </w:tc>
      </w:tr>
      <w:tr w14:paraId="407AE5D4">
        <w:tblPrEx>
          <w:tblCellMar>
            <w:top w:w="0" w:type="dxa"/>
            <w:left w:w="108" w:type="dxa"/>
            <w:bottom w:w="0" w:type="dxa"/>
            <w:right w:w="108" w:type="dxa"/>
          </w:tblCellMar>
        </w:tblPrEx>
        <w:trPr>
          <w:trHeight w:val="819" w:hRule="atLeast"/>
        </w:trPr>
        <w:tc>
          <w:tcPr>
            <w:tcW w:w="9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9D33985">
            <w:pPr>
              <w:pStyle w:val="70"/>
              <w:widowControl/>
              <w:numPr>
                <w:ilvl w:val="0"/>
                <w:numId w:val="14"/>
              </w:numPr>
              <w:spacing w:line="240" w:lineRule="auto"/>
              <w:ind w:firstLineChars="0"/>
              <w:jc w:val="center"/>
              <w:rPr>
                <w:rFonts w:cs="宋体" w:asciiTheme="minorEastAsia" w:hAnsiTheme="minorEastAsia" w:eastAsiaTheme="minorEastAsia"/>
                <w:color w:val="000000"/>
                <w:kern w:val="0"/>
                <w:sz w:val="28"/>
                <w:szCs w:val="28"/>
              </w:rPr>
            </w:pPr>
          </w:p>
        </w:tc>
        <w:tc>
          <w:tcPr>
            <w:tcW w:w="3172" w:type="dxa"/>
            <w:tcBorders>
              <w:top w:val="single" w:color="auto" w:sz="4" w:space="0"/>
              <w:left w:val="single" w:color="auto" w:sz="4" w:space="0"/>
              <w:bottom w:val="single" w:color="auto" w:sz="4" w:space="0"/>
              <w:right w:val="single" w:color="auto" w:sz="4" w:space="0"/>
            </w:tcBorders>
            <w:vAlign w:val="center"/>
          </w:tcPr>
          <w:p w14:paraId="44D16640">
            <w:pPr>
              <w:widowControl/>
              <w:spacing w:line="240" w:lineRule="auto"/>
              <w:ind w:left="480" w:hanging="480" w:hangingChars="200"/>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医共体信息平台云资源</w:t>
            </w:r>
          </w:p>
        </w:tc>
        <w:tc>
          <w:tcPr>
            <w:tcW w:w="35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E18326">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2E903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3</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65B026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年</w:t>
            </w:r>
          </w:p>
        </w:tc>
      </w:tr>
      <w:tr w14:paraId="60ED78F7">
        <w:tblPrEx>
          <w:tblCellMar>
            <w:top w:w="0" w:type="dxa"/>
            <w:left w:w="108" w:type="dxa"/>
            <w:bottom w:w="0" w:type="dxa"/>
            <w:right w:w="108" w:type="dxa"/>
          </w:tblCellMar>
        </w:tblPrEx>
        <w:trPr>
          <w:trHeight w:val="742" w:hRule="atLeast"/>
        </w:trPr>
        <w:tc>
          <w:tcPr>
            <w:tcW w:w="9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FB4FD7">
            <w:pPr>
              <w:pStyle w:val="70"/>
              <w:widowControl/>
              <w:numPr>
                <w:ilvl w:val="0"/>
                <w:numId w:val="14"/>
              </w:numPr>
              <w:spacing w:line="240" w:lineRule="auto"/>
              <w:ind w:firstLineChars="0"/>
              <w:jc w:val="center"/>
              <w:rPr>
                <w:rFonts w:cs="宋体" w:asciiTheme="minorEastAsia" w:hAnsiTheme="minorEastAsia" w:eastAsiaTheme="minorEastAsia"/>
                <w:color w:val="000000"/>
                <w:kern w:val="0"/>
                <w:sz w:val="28"/>
                <w:szCs w:val="28"/>
              </w:rPr>
            </w:pPr>
          </w:p>
        </w:tc>
        <w:tc>
          <w:tcPr>
            <w:tcW w:w="3172" w:type="dxa"/>
            <w:tcBorders>
              <w:top w:val="single" w:color="auto" w:sz="4" w:space="0"/>
              <w:left w:val="single" w:color="auto" w:sz="4" w:space="0"/>
              <w:bottom w:val="single" w:color="auto" w:sz="4" w:space="0"/>
              <w:right w:val="single" w:color="auto" w:sz="4" w:space="0"/>
            </w:tcBorders>
            <w:vAlign w:val="center"/>
          </w:tcPr>
          <w:p w14:paraId="222AD124">
            <w:pPr>
              <w:widowControl/>
              <w:spacing w:line="240" w:lineRule="auto"/>
              <w:ind w:left="480" w:hanging="480" w:hangingChars="200"/>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一体化资源中心云资源</w:t>
            </w:r>
          </w:p>
        </w:tc>
        <w:tc>
          <w:tcPr>
            <w:tcW w:w="35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4A51F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A01328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3</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1A1DDF0">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年</w:t>
            </w:r>
          </w:p>
        </w:tc>
      </w:tr>
      <w:tr w14:paraId="6B348CD5">
        <w:tblPrEx>
          <w:tblCellMar>
            <w:top w:w="0" w:type="dxa"/>
            <w:left w:w="108" w:type="dxa"/>
            <w:bottom w:w="0" w:type="dxa"/>
            <w:right w:w="108" w:type="dxa"/>
          </w:tblCellMar>
        </w:tblPrEx>
        <w:trPr>
          <w:trHeight w:val="842" w:hRule="atLeast"/>
        </w:trPr>
        <w:tc>
          <w:tcPr>
            <w:tcW w:w="9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21FBB9">
            <w:pPr>
              <w:pStyle w:val="70"/>
              <w:widowControl/>
              <w:numPr>
                <w:ilvl w:val="0"/>
                <w:numId w:val="14"/>
              </w:numPr>
              <w:spacing w:line="240" w:lineRule="auto"/>
              <w:ind w:firstLineChars="0"/>
              <w:jc w:val="center"/>
              <w:rPr>
                <w:rFonts w:cs="宋体" w:asciiTheme="minorEastAsia" w:hAnsiTheme="minorEastAsia" w:eastAsiaTheme="minorEastAsia"/>
                <w:color w:val="000000"/>
                <w:kern w:val="0"/>
                <w:sz w:val="28"/>
                <w:szCs w:val="28"/>
              </w:rPr>
            </w:pPr>
          </w:p>
        </w:tc>
        <w:tc>
          <w:tcPr>
            <w:tcW w:w="3172" w:type="dxa"/>
            <w:tcBorders>
              <w:top w:val="single" w:color="auto" w:sz="4" w:space="0"/>
              <w:left w:val="single" w:color="auto" w:sz="4" w:space="0"/>
              <w:bottom w:val="single" w:color="auto" w:sz="4" w:space="0"/>
              <w:right w:val="single" w:color="auto" w:sz="4" w:space="0"/>
            </w:tcBorders>
            <w:vAlign w:val="center"/>
          </w:tcPr>
          <w:p w14:paraId="3B0AAFF4">
            <w:pPr>
              <w:widowControl/>
              <w:spacing w:line="240" w:lineRule="auto"/>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一体化基层医疗服务云资源</w:t>
            </w:r>
          </w:p>
        </w:tc>
        <w:tc>
          <w:tcPr>
            <w:tcW w:w="35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35C040">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98F499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3</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F82813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年</w:t>
            </w:r>
          </w:p>
        </w:tc>
      </w:tr>
      <w:tr w14:paraId="3E2F9F4C">
        <w:tblPrEx>
          <w:tblCellMar>
            <w:top w:w="0" w:type="dxa"/>
            <w:left w:w="108" w:type="dxa"/>
            <w:bottom w:w="0" w:type="dxa"/>
            <w:right w:w="108" w:type="dxa"/>
          </w:tblCellMar>
        </w:tblPrEx>
        <w:trPr>
          <w:trHeight w:val="1098" w:hRule="atLeast"/>
        </w:trPr>
        <w:tc>
          <w:tcPr>
            <w:tcW w:w="9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5C12F3">
            <w:pPr>
              <w:pStyle w:val="70"/>
              <w:widowControl/>
              <w:numPr>
                <w:ilvl w:val="0"/>
                <w:numId w:val="14"/>
              </w:numPr>
              <w:spacing w:line="240" w:lineRule="auto"/>
              <w:ind w:firstLineChars="0"/>
              <w:jc w:val="center"/>
              <w:rPr>
                <w:rFonts w:cs="宋体" w:asciiTheme="minorEastAsia" w:hAnsiTheme="minorEastAsia" w:eastAsiaTheme="minorEastAsia"/>
                <w:color w:val="000000"/>
                <w:kern w:val="0"/>
                <w:sz w:val="28"/>
                <w:szCs w:val="28"/>
              </w:rPr>
            </w:pPr>
          </w:p>
        </w:tc>
        <w:tc>
          <w:tcPr>
            <w:tcW w:w="3172" w:type="dxa"/>
            <w:tcBorders>
              <w:top w:val="single" w:color="auto" w:sz="4" w:space="0"/>
              <w:left w:val="single" w:color="auto" w:sz="4" w:space="0"/>
              <w:bottom w:val="single" w:color="auto" w:sz="4" w:space="0"/>
              <w:right w:val="single" w:color="auto" w:sz="4" w:space="0"/>
            </w:tcBorders>
            <w:vAlign w:val="center"/>
          </w:tcPr>
          <w:p w14:paraId="553AF06B">
            <w:pPr>
              <w:widowControl/>
              <w:spacing w:line="240" w:lineRule="auto"/>
              <w:ind w:left="480" w:hanging="480" w:hangingChars="200"/>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一体化运营服务云资源</w:t>
            </w:r>
          </w:p>
        </w:tc>
        <w:tc>
          <w:tcPr>
            <w:tcW w:w="35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1E1B9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F229B5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3</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4792D0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年</w:t>
            </w:r>
          </w:p>
        </w:tc>
      </w:tr>
      <w:tr w14:paraId="154E3D89">
        <w:tblPrEx>
          <w:tblCellMar>
            <w:top w:w="0" w:type="dxa"/>
            <w:left w:w="108" w:type="dxa"/>
            <w:bottom w:w="0" w:type="dxa"/>
            <w:right w:w="108" w:type="dxa"/>
          </w:tblCellMar>
        </w:tblPrEx>
        <w:trPr>
          <w:trHeight w:val="842" w:hRule="atLeast"/>
        </w:trPr>
        <w:tc>
          <w:tcPr>
            <w:tcW w:w="9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331C5F">
            <w:pPr>
              <w:pStyle w:val="70"/>
              <w:widowControl/>
              <w:numPr>
                <w:ilvl w:val="0"/>
                <w:numId w:val="14"/>
              </w:numPr>
              <w:spacing w:line="240" w:lineRule="auto"/>
              <w:ind w:firstLineChars="0"/>
              <w:jc w:val="center"/>
              <w:rPr>
                <w:rFonts w:cs="宋体" w:asciiTheme="minorEastAsia" w:hAnsiTheme="minorEastAsia" w:eastAsiaTheme="minorEastAsia"/>
                <w:color w:val="000000"/>
                <w:kern w:val="0"/>
                <w:sz w:val="28"/>
                <w:szCs w:val="28"/>
              </w:rPr>
            </w:pPr>
          </w:p>
        </w:tc>
        <w:tc>
          <w:tcPr>
            <w:tcW w:w="3172" w:type="dxa"/>
            <w:tcBorders>
              <w:top w:val="single" w:color="auto" w:sz="4" w:space="0"/>
              <w:left w:val="single" w:color="auto" w:sz="4" w:space="0"/>
              <w:bottom w:val="single" w:color="auto" w:sz="4" w:space="0"/>
              <w:right w:val="single" w:color="auto" w:sz="4" w:space="0"/>
            </w:tcBorders>
            <w:vAlign w:val="center"/>
          </w:tcPr>
          <w:p w14:paraId="62899F3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带宽服务</w:t>
            </w:r>
          </w:p>
        </w:tc>
        <w:tc>
          <w:tcPr>
            <w:tcW w:w="35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45BA60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D7208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3</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621245">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年</w:t>
            </w:r>
          </w:p>
        </w:tc>
      </w:tr>
    </w:tbl>
    <w:p w14:paraId="162612AB"/>
    <w:p w14:paraId="7252196E"/>
    <w:p w14:paraId="16FF35BD">
      <w:pPr>
        <w:rPr>
          <w:b/>
          <w:bCs/>
          <w:sz w:val="44"/>
          <w:szCs w:val="44"/>
        </w:rPr>
      </w:pPr>
      <w:r>
        <w:rPr>
          <w:rFonts w:hint="eastAsia"/>
          <w:b/>
          <w:bCs/>
          <w:sz w:val="44"/>
          <w:szCs w:val="44"/>
        </w:rPr>
        <w:t>四、交换机房建设清单</w:t>
      </w:r>
    </w:p>
    <w:tbl>
      <w:tblPr>
        <w:tblStyle w:val="42"/>
        <w:tblpPr w:leftFromText="180" w:rightFromText="180" w:vertAnchor="text" w:horzAnchor="page" w:tblpX="885" w:tblpY="335"/>
        <w:tblOverlap w:val="never"/>
        <w:tblW w:w="10097" w:type="dxa"/>
        <w:tblInd w:w="0" w:type="dxa"/>
        <w:tblLayout w:type="fixed"/>
        <w:tblCellMar>
          <w:top w:w="0" w:type="dxa"/>
          <w:left w:w="108" w:type="dxa"/>
          <w:bottom w:w="0" w:type="dxa"/>
          <w:right w:w="108" w:type="dxa"/>
        </w:tblCellMar>
      </w:tblPr>
      <w:tblGrid>
        <w:gridCol w:w="855"/>
        <w:gridCol w:w="3377"/>
        <w:gridCol w:w="3585"/>
        <w:gridCol w:w="1050"/>
        <w:gridCol w:w="1230"/>
      </w:tblGrid>
      <w:tr w14:paraId="6861144A">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1B429A">
            <w:pPr>
              <w:pStyle w:val="70"/>
              <w:widowControl/>
              <w:spacing w:line="240" w:lineRule="auto"/>
              <w:ind w:firstLine="0" w:firstLineChars="0"/>
              <w:jc w:val="center"/>
              <w:rPr>
                <w:rFonts w:cs="宋体" w:asciiTheme="minorEastAsia" w:hAnsiTheme="minorEastAsia" w:eastAsiaTheme="minorEastAsia"/>
                <w:b/>
                <w:bCs/>
                <w:color w:val="000000"/>
                <w:kern w:val="0"/>
                <w:sz w:val="28"/>
                <w:szCs w:val="28"/>
              </w:rPr>
            </w:pPr>
            <w:r>
              <w:rPr>
                <w:rFonts w:hint="eastAsia" w:cs="宋体" w:asciiTheme="minorEastAsia" w:hAnsiTheme="minorEastAsia" w:eastAsiaTheme="minorEastAsia"/>
                <w:b/>
                <w:bCs/>
                <w:color w:val="000000"/>
                <w:kern w:val="0"/>
                <w:sz w:val="28"/>
                <w:szCs w:val="28"/>
              </w:rPr>
              <w:t>序号</w:t>
            </w:r>
          </w:p>
        </w:tc>
        <w:tc>
          <w:tcPr>
            <w:tcW w:w="3377" w:type="dxa"/>
            <w:tcBorders>
              <w:top w:val="single" w:color="auto" w:sz="4" w:space="0"/>
              <w:left w:val="single" w:color="auto" w:sz="4" w:space="0"/>
              <w:bottom w:val="single" w:color="auto" w:sz="4" w:space="0"/>
              <w:right w:val="single" w:color="auto" w:sz="4" w:space="0"/>
            </w:tcBorders>
            <w:vAlign w:val="center"/>
          </w:tcPr>
          <w:p w14:paraId="4832ADFE">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设备名称</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2BF7BD">
            <w:pPr>
              <w:widowControl/>
              <w:spacing w:line="240" w:lineRule="auto"/>
              <w:jc w:val="center"/>
              <w:rPr>
                <w:rFonts w:cs="宋体" w:asciiTheme="minorEastAsia" w:hAnsiTheme="minorEastAsia" w:eastAsiaTheme="minorEastAsia"/>
                <w:b/>
                <w:bCs/>
                <w:color w:val="000000"/>
                <w:kern w:val="0"/>
                <w:szCs w:val="24"/>
              </w:rPr>
            </w:pPr>
            <w:r>
              <w:rPr>
                <w:rFonts w:hint="eastAsia" w:ascii="宋体" w:hAnsi="宋体" w:cs="宋体"/>
                <w:b/>
                <w:bCs/>
                <w:color w:val="000000"/>
                <w:kern w:val="0"/>
                <w:sz w:val="22"/>
                <w:lang w:bidi="ar"/>
              </w:rPr>
              <w:t>主要性能指标</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0CA1E2">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数量</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DD92C8">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单位</w:t>
            </w:r>
          </w:p>
        </w:tc>
      </w:tr>
      <w:tr w14:paraId="635446FC">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11D0A32">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285A0649">
            <w:pPr>
              <w:widowControl/>
              <w:jc w:val="center"/>
              <w:textAlignment w:val="center"/>
              <w:rPr>
                <w:rFonts w:ascii="宋体" w:hAnsi="宋体" w:cs="宋体"/>
                <w:color w:val="000000"/>
                <w:sz w:val="22"/>
              </w:rPr>
            </w:pPr>
            <w:r>
              <w:rPr>
                <w:rFonts w:hint="eastAsia" w:ascii="宋体" w:hAnsi="宋体" w:cs="宋体"/>
                <w:color w:val="000000"/>
                <w:kern w:val="0"/>
                <w:sz w:val="22"/>
                <w:lang w:bidi="ar"/>
              </w:rPr>
              <w:t>模块化UPS系统柜</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32A44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86D8B2">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E5614BF">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台</w:t>
            </w:r>
          </w:p>
        </w:tc>
      </w:tr>
      <w:tr w14:paraId="4EAEB2BA">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A14BD2">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311BF469">
            <w:pPr>
              <w:widowControl/>
              <w:jc w:val="center"/>
              <w:textAlignment w:val="center"/>
              <w:rPr>
                <w:rFonts w:ascii="宋体" w:hAnsi="宋体" w:cs="宋体"/>
                <w:color w:val="000000"/>
                <w:sz w:val="22"/>
              </w:rPr>
            </w:pPr>
            <w:r>
              <w:rPr>
                <w:rFonts w:hint="eastAsia" w:ascii="宋体" w:hAnsi="宋体" w:cs="宋体"/>
                <w:color w:val="000000"/>
                <w:kern w:val="0"/>
                <w:sz w:val="22"/>
                <w:lang w:bidi="ar"/>
              </w:rPr>
              <w:t>功率模块</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E22A9C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ACFF757">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2</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A1E6E16">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个</w:t>
            </w:r>
          </w:p>
        </w:tc>
      </w:tr>
      <w:tr w14:paraId="007ED58F">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4D451D3">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5FF7DFF8">
            <w:pPr>
              <w:widowControl/>
              <w:jc w:val="center"/>
              <w:textAlignment w:val="center"/>
              <w:rPr>
                <w:rFonts w:ascii="宋体" w:hAnsi="宋体" w:cs="宋体"/>
                <w:color w:val="000000"/>
                <w:sz w:val="22"/>
              </w:rPr>
            </w:pPr>
            <w:r>
              <w:rPr>
                <w:rFonts w:hint="eastAsia" w:ascii="宋体" w:hAnsi="宋体" w:cs="宋体"/>
                <w:color w:val="000000"/>
                <w:kern w:val="0"/>
                <w:sz w:val="22"/>
                <w:lang w:bidi="ar"/>
              </w:rPr>
              <w:t>蓄电池</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219C20">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52561E7">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64</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2F66E70">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节</w:t>
            </w:r>
          </w:p>
        </w:tc>
      </w:tr>
      <w:tr w14:paraId="07DD530F">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AF58B8">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4ADD019E">
            <w:pPr>
              <w:widowControl/>
              <w:jc w:val="center"/>
              <w:textAlignment w:val="center"/>
              <w:rPr>
                <w:rFonts w:ascii="宋体" w:hAnsi="宋体" w:cs="宋体"/>
                <w:color w:val="000000"/>
                <w:sz w:val="22"/>
              </w:rPr>
            </w:pPr>
            <w:r>
              <w:rPr>
                <w:rFonts w:hint="eastAsia" w:ascii="宋体" w:hAnsi="宋体" w:cs="宋体"/>
                <w:color w:val="000000"/>
                <w:kern w:val="0"/>
                <w:sz w:val="22"/>
                <w:lang w:bidi="ar"/>
              </w:rPr>
              <w:t>电池箱</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ED2C37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A6EC7A">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2</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D42C87C">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个</w:t>
            </w:r>
          </w:p>
        </w:tc>
      </w:tr>
      <w:tr w14:paraId="29954B19">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C004468">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FFFFFF"/>
            <w:vAlign w:val="center"/>
          </w:tcPr>
          <w:p w14:paraId="6BD571BB">
            <w:pPr>
              <w:widowControl/>
              <w:jc w:val="center"/>
              <w:textAlignment w:val="center"/>
              <w:rPr>
                <w:rFonts w:ascii="宋体" w:hAnsi="宋体" w:cs="宋体"/>
                <w:color w:val="000000"/>
                <w:sz w:val="22"/>
              </w:rPr>
            </w:pPr>
            <w:r>
              <w:rPr>
                <w:rFonts w:hint="eastAsia" w:ascii="宋体" w:hAnsi="宋体" w:cs="宋体"/>
                <w:color w:val="000000"/>
                <w:kern w:val="0"/>
                <w:sz w:val="22"/>
                <w:lang w:bidi="ar"/>
              </w:rPr>
              <w:t>电池连接电线</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C86086">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8C579EF">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 xml:space="preserve">64 </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9C2C6DF">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条</w:t>
            </w:r>
          </w:p>
        </w:tc>
      </w:tr>
      <w:tr w14:paraId="4ABF9A96">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61B1964">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FFFFFF"/>
            <w:vAlign w:val="center"/>
          </w:tcPr>
          <w:p w14:paraId="4F29F237">
            <w:pPr>
              <w:widowControl/>
              <w:jc w:val="center"/>
              <w:textAlignment w:val="center"/>
              <w:rPr>
                <w:rFonts w:ascii="宋体" w:hAnsi="宋体" w:cs="宋体"/>
                <w:color w:val="000000"/>
                <w:sz w:val="22"/>
              </w:rPr>
            </w:pPr>
            <w:r>
              <w:rPr>
                <w:rFonts w:hint="eastAsia" w:ascii="宋体" w:hAnsi="宋体" w:cs="宋体"/>
                <w:color w:val="000000"/>
                <w:kern w:val="0"/>
                <w:sz w:val="22"/>
                <w:lang w:bidi="ar"/>
              </w:rPr>
              <w:t>UPS与电池间连接线</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A78F215">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4C4725">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 xml:space="preserve">1 </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7654C91">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批</w:t>
            </w:r>
          </w:p>
        </w:tc>
      </w:tr>
      <w:tr w14:paraId="418F8717">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214971F">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FFFFFF"/>
            <w:vAlign w:val="center"/>
          </w:tcPr>
          <w:p w14:paraId="7C493A10">
            <w:pPr>
              <w:widowControl/>
              <w:jc w:val="center"/>
              <w:textAlignment w:val="center"/>
              <w:rPr>
                <w:rFonts w:ascii="宋体" w:hAnsi="宋体" w:cs="宋体"/>
                <w:color w:val="000000"/>
                <w:sz w:val="22"/>
              </w:rPr>
            </w:pPr>
            <w:r>
              <w:rPr>
                <w:rFonts w:hint="eastAsia" w:ascii="宋体" w:hAnsi="宋体" w:cs="宋体"/>
                <w:color w:val="000000"/>
                <w:kern w:val="0"/>
                <w:sz w:val="22"/>
                <w:lang w:bidi="ar"/>
              </w:rPr>
              <w:t>UPS与强电动力柜连接线</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C975E0">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BE85B9">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EBA154E">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批</w:t>
            </w:r>
          </w:p>
        </w:tc>
      </w:tr>
      <w:tr w14:paraId="2B003A02">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FF2A02">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FFFFFF"/>
            <w:vAlign w:val="center"/>
          </w:tcPr>
          <w:p w14:paraId="794D3120">
            <w:pPr>
              <w:widowControl/>
              <w:jc w:val="center"/>
              <w:textAlignment w:val="center"/>
              <w:rPr>
                <w:rFonts w:ascii="宋体" w:hAnsi="宋体" w:cs="宋体"/>
                <w:color w:val="000000"/>
                <w:sz w:val="22"/>
              </w:rPr>
            </w:pPr>
            <w:r>
              <w:rPr>
                <w:rFonts w:hint="eastAsia" w:ascii="宋体" w:hAnsi="宋体" w:cs="宋体"/>
                <w:color w:val="000000"/>
                <w:kern w:val="0"/>
                <w:sz w:val="22"/>
                <w:lang w:bidi="ar"/>
              </w:rPr>
              <w:t>其他及辅材</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A0DAEBA">
            <w:pPr>
              <w:widowControl/>
              <w:jc w:val="center"/>
              <w:textAlignment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BBFA227">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BFB03A">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批</w:t>
            </w:r>
          </w:p>
        </w:tc>
      </w:tr>
      <w:tr w14:paraId="55682B39">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9705BE6">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FFFFFF"/>
            <w:vAlign w:val="center"/>
          </w:tcPr>
          <w:p w14:paraId="4A6A8D96">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监控主机配置</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0EFE5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A250544">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9E28D69">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套</w:t>
            </w:r>
          </w:p>
        </w:tc>
      </w:tr>
      <w:tr w14:paraId="313B2F8C">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109E29">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FFFFFF"/>
            <w:vAlign w:val="center"/>
          </w:tcPr>
          <w:p w14:paraId="68BDE73D">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制冷系统监控功能</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CA779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8691FB7">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8D9B7F">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套</w:t>
            </w:r>
          </w:p>
        </w:tc>
      </w:tr>
      <w:tr w14:paraId="7DD12952">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FFC416">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FFFFFF"/>
            <w:vAlign w:val="center"/>
          </w:tcPr>
          <w:p w14:paraId="5D0AEC82">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系统功能</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CD43A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3B76AA">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B2290E8">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套</w:t>
            </w:r>
          </w:p>
        </w:tc>
      </w:tr>
      <w:tr w14:paraId="2FC357C7">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3151C8">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FFFFFF"/>
            <w:vAlign w:val="center"/>
          </w:tcPr>
          <w:p w14:paraId="3638A64A">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可视化管理功能</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D5CD2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590C557">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3C70C5">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套</w:t>
            </w:r>
          </w:p>
        </w:tc>
      </w:tr>
      <w:tr w14:paraId="2A6720E1">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584130">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FFFFFF"/>
            <w:vAlign w:val="center"/>
          </w:tcPr>
          <w:p w14:paraId="05B290D9">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链路管理功能</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0D6806">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3F2BE3">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99CD95">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套</w:t>
            </w:r>
          </w:p>
        </w:tc>
      </w:tr>
      <w:tr w14:paraId="4182C40F">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7F3937">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FFFFFF"/>
            <w:vAlign w:val="center"/>
          </w:tcPr>
          <w:p w14:paraId="493D8FDA">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运维管理功能</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414BDD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52809E">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4D0382">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套</w:t>
            </w:r>
          </w:p>
        </w:tc>
      </w:tr>
      <w:tr w14:paraId="4B194CF3">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EFD28D9">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FFFFFF"/>
            <w:vAlign w:val="center"/>
          </w:tcPr>
          <w:p w14:paraId="3230445F">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安防监控功能</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2498CD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CC5862A">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F17298">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套</w:t>
            </w:r>
          </w:p>
        </w:tc>
      </w:tr>
      <w:tr w14:paraId="03C3A76E">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E4FEAE5">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FFFFFF"/>
            <w:vAlign w:val="center"/>
          </w:tcPr>
          <w:p w14:paraId="70B673B8">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告警功能</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9C0894">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67F6C7">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4FA8C10">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套</w:t>
            </w:r>
          </w:p>
        </w:tc>
      </w:tr>
      <w:tr w14:paraId="542B4D25">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C18B854">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FFFFFF"/>
            <w:vAlign w:val="center"/>
          </w:tcPr>
          <w:p w14:paraId="5625DE30">
            <w:pPr>
              <w:widowControl/>
              <w:jc w:val="center"/>
              <w:textAlignment w:val="center"/>
              <w:rPr>
                <w:rFonts w:ascii="微软雅黑" w:hAnsi="微软雅黑" w:eastAsia="微软雅黑" w:cs="微软雅黑"/>
                <w:color w:val="262626"/>
                <w:sz w:val="18"/>
                <w:szCs w:val="18"/>
              </w:rPr>
            </w:pPr>
            <w:r>
              <w:rPr>
                <w:rFonts w:hint="eastAsia" w:ascii="宋体" w:hAnsi="宋体" w:cs="宋体"/>
                <w:color w:val="000000"/>
                <w:kern w:val="0"/>
                <w:sz w:val="22"/>
                <w:lang w:bidi="ar"/>
              </w:rPr>
              <w:t>网线</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C74B2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256641">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2</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A8857C5">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箱</w:t>
            </w:r>
          </w:p>
        </w:tc>
      </w:tr>
      <w:tr w14:paraId="0D60F868">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E31CD7">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FFFFFF"/>
            <w:vAlign w:val="center"/>
          </w:tcPr>
          <w:p w14:paraId="3128B7B5">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展示屏</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23A7A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5AFF4D">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A7EBC6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7154E6AA">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DBF9F4A">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200268B1">
            <w:pPr>
              <w:widowControl/>
              <w:jc w:val="center"/>
              <w:textAlignment w:val="center"/>
              <w:rPr>
                <w:rFonts w:ascii="宋体" w:hAnsi="宋体" w:cs="宋体"/>
                <w:color w:val="000000"/>
                <w:sz w:val="22"/>
              </w:rPr>
            </w:pPr>
            <w:r>
              <w:rPr>
                <w:rFonts w:hint="eastAsia" w:ascii="宋体" w:hAnsi="宋体" w:cs="宋体"/>
                <w:color w:val="000000"/>
                <w:kern w:val="0"/>
                <w:sz w:val="22"/>
                <w:lang w:bidi="ar"/>
              </w:rPr>
              <w:t>风冷直膨式精密空调机组</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DF6188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069A418">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222F2B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r>
      <w:tr w14:paraId="2DD45EBF">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55599F">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20D63C35">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机房备用空调</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19BC3E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3F923F9">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47D8FF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r>
      <w:tr w14:paraId="487DDFE7">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EDA3EE">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49AD02A8">
            <w:pPr>
              <w:widowControl/>
              <w:jc w:val="center"/>
              <w:textAlignment w:val="center"/>
              <w:rPr>
                <w:rFonts w:ascii="宋体" w:hAnsi="宋体" w:cs="宋体"/>
                <w:color w:val="000000"/>
                <w:sz w:val="22"/>
              </w:rPr>
            </w:pPr>
            <w:r>
              <w:rPr>
                <w:rFonts w:hint="eastAsia" w:ascii="宋体" w:hAnsi="宋体" w:cs="宋体"/>
                <w:color w:val="000000"/>
                <w:kern w:val="0"/>
                <w:sz w:val="22"/>
                <w:lang w:bidi="ar"/>
              </w:rPr>
              <w:t>UPS室空调</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C4CC68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F0A063">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00CB9C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r>
      <w:tr w14:paraId="15355EAF">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450720">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77FF44F5">
            <w:pPr>
              <w:widowControl/>
              <w:jc w:val="center"/>
              <w:textAlignment w:val="center"/>
              <w:rPr>
                <w:rFonts w:ascii="宋体" w:hAnsi="宋体" w:cs="宋体"/>
                <w:color w:val="000000"/>
                <w:sz w:val="22"/>
              </w:rPr>
            </w:pPr>
            <w:r>
              <w:rPr>
                <w:rFonts w:hint="eastAsia" w:ascii="宋体" w:hAnsi="宋体" w:cs="宋体"/>
                <w:color w:val="000000"/>
                <w:kern w:val="0"/>
                <w:sz w:val="22"/>
                <w:lang w:bidi="ar"/>
              </w:rPr>
              <w:t>录像机</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703AD8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5337E2">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A23946B">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台</w:t>
            </w:r>
          </w:p>
        </w:tc>
      </w:tr>
      <w:tr w14:paraId="164F8489">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2AD2C22">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27ACD22A">
            <w:pPr>
              <w:widowControl/>
              <w:jc w:val="center"/>
              <w:textAlignment w:val="center"/>
              <w:rPr>
                <w:rFonts w:ascii="宋体" w:hAnsi="宋体" w:cs="宋体"/>
                <w:color w:val="000000"/>
                <w:sz w:val="22"/>
              </w:rPr>
            </w:pPr>
            <w:r>
              <w:rPr>
                <w:rFonts w:hint="eastAsia" w:ascii="宋体" w:hAnsi="宋体" w:cs="宋体"/>
                <w:color w:val="000000"/>
                <w:kern w:val="0"/>
                <w:sz w:val="22"/>
                <w:lang w:bidi="ar"/>
              </w:rPr>
              <w:t>8T硬盘</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C47074">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5166D17">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4</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EF52C68">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块</w:t>
            </w:r>
          </w:p>
        </w:tc>
      </w:tr>
      <w:tr w14:paraId="5A2D9316">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E04D25B">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301571CF">
            <w:pPr>
              <w:widowControl/>
              <w:jc w:val="center"/>
              <w:textAlignment w:val="center"/>
              <w:rPr>
                <w:rFonts w:ascii="宋体" w:hAnsi="宋体" w:cs="宋体"/>
                <w:color w:val="000000"/>
                <w:sz w:val="22"/>
              </w:rPr>
            </w:pPr>
            <w:r>
              <w:rPr>
                <w:rFonts w:hint="eastAsia" w:ascii="宋体" w:hAnsi="宋体" w:cs="宋体"/>
                <w:color w:val="000000"/>
                <w:kern w:val="0"/>
                <w:sz w:val="22"/>
                <w:lang w:bidi="ar"/>
              </w:rPr>
              <w:t>摄像头</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6FBD6F4">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75899D0">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4</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EB24196">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个</w:t>
            </w:r>
          </w:p>
        </w:tc>
      </w:tr>
      <w:tr w14:paraId="18046800">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F4D670">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7B0D88E5">
            <w:pPr>
              <w:widowControl/>
              <w:jc w:val="center"/>
              <w:textAlignment w:val="center"/>
              <w:rPr>
                <w:rFonts w:ascii="宋体" w:hAnsi="宋体" w:cs="宋体"/>
                <w:color w:val="000000"/>
                <w:sz w:val="22"/>
              </w:rPr>
            </w:pPr>
            <w:r>
              <w:rPr>
                <w:rFonts w:hint="eastAsia" w:ascii="宋体" w:hAnsi="宋体" w:cs="宋体"/>
                <w:color w:val="000000"/>
                <w:kern w:val="0"/>
                <w:sz w:val="22"/>
                <w:lang w:bidi="ar"/>
              </w:rPr>
              <w:t>POE交换机</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2F3F1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9CD377D">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4F68F8">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台</w:t>
            </w:r>
          </w:p>
        </w:tc>
      </w:tr>
      <w:tr w14:paraId="1EDED345">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254A89">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0050036F">
            <w:pPr>
              <w:widowControl/>
              <w:jc w:val="center"/>
              <w:textAlignment w:val="center"/>
              <w:rPr>
                <w:rFonts w:ascii="宋体" w:hAnsi="宋体" w:cs="宋体"/>
                <w:color w:val="000000"/>
                <w:sz w:val="22"/>
              </w:rPr>
            </w:pPr>
            <w:r>
              <w:rPr>
                <w:rFonts w:hint="eastAsia" w:ascii="宋体" w:hAnsi="宋体" w:cs="宋体"/>
                <w:color w:val="000000"/>
                <w:kern w:val="0"/>
                <w:sz w:val="22"/>
                <w:lang w:bidi="ar"/>
              </w:rPr>
              <w:t>防尘漆</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6EF09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475E17">
            <w:pPr>
              <w:widowControl/>
              <w:jc w:val="center"/>
              <w:textAlignment w:val="center"/>
              <w:rPr>
                <w:rFonts w:ascii="宋体" w:hAnsi="宋体" w:cs="宋体"/>
                <w:color w:val="000000"/>
                <w:sz w:val="22"/>
              </w:rPr>
            </w:pPr>
            <w:r>
              <w:rPr>
                <w:rFonts w:hint="eastAsia" w:ascii="宋体" w:hAnsi="宋体" w:cs="宋体"/>
                <w:color w:val="000000"/>
                <w:kern w:val="0"/>
                <w:sz w:val="22"/>
                <w:lang w:bidi="ar"/>
              </w:rPr>
              <w:t>72</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45E0347">
            <w:pPr>
              <w:widowControl/>
              <w:jc w:val="center"/>
              <w:textAlignment w:val="center"/>
              <w:rPr>
                <w:rFonts w:ascii="宋体" w:hAnsi="宋体" w:cs="宋体"/>
                <w:color w:val="000000"/>
                <w:sz w:val="22"/>
              </w:rPr>
            </w:pPr>
            <w:r>
              <w:rPr>
                <w:rFonts w:hint="eastAsia" w:ascii="宋体" w:hAnsi="宋体" w:cs="宋体"/>
                <w:color w:val="000000"/>
                <w:sz w:val="22"/>
              </w:rPr>
              <w:t>平方米</w:t>
            </w:r>
          </w:p>
        </w:tc>
      </w:tr>
      <w:tr w14:paraId="443D18C9">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3743C17">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0F7EA35E">
            <w:pPr>
              <w:widowControl/>
              <w:jc w:val="center"/>
              <w:textAlignment w:val="center"/>
              <w:rPr>
                <w:rFonts w:ascii="宋体" w:hAnsi="宋体" w:cs="宋体"/>
                <w:color w:val="000000"/>
                <w:sz w:val="22"/>
              </w:rPr>
            </w:pPr>
            <w:r>
              <w:rPr>
                <w:rFonts w:hint="eastAsia" w:ascii="宋体" w:hAnsi="宋体" w:cs="宋体"/>
                <w:color w:val="000000"/>
                <w:kern w:val="0"/>
                <w:sz w:val="22"/>
                <w:lang w:bidi="ar"/>
              </w:rPr>
              <w:t>陶瓷静电地板</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97CA21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A3A9968">
            <w:pPr>
              <w:widowControl/>
              <w:jc w:val="center"/>
              <w:textAlignment w:val="center"/>
              <w:rPr>
                <w:rFonts w:ascii="宋体" w:hAnsi="宋体" w:cs="宋体"/>
                <w:color w:val="000000"/>
                <w:sz w:val="22"/>
              </w:rPr>
            </w:pPr>
            <w:r>
              <w:rPr>
                <w:rFonts w:hint="eastAsia" w:ascii="宋体" w:hAnsi="宋体" w:cs="宋体"/>
                <w:color w:val="000000"/>
                <w:kern w:val="0"/>
                <w:sz w:val="22"/>
                <w:lang w:bidi="ar"/>
              </w:rPr>
              <w:t>55</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B5DB0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平方米</w:t>
            </w:r>
          </w:p>
        </w:tc>
      </w:tr>
      <w:tr w14:paraId="453ABF61">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735070">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1359B851">
            <w:pPr>
              <w:widowControl/>
              <w:jc w:val="center"/>
              <w:textAlignment w:val="center"/>
              <w:rPr>
                <w:rFonts w:ascii="宋体" w:hAnsi="宋体" w:cs="宋体"/>
                <w:color w:val="000000"/>
                <w:sz w:val="22"/>
              </w:rPr>
            </w:pPr>
            <w:r>
              <w:rPr>
                <w:rFonts w:hint="eastAsia" w:ascii="宋体" w:hAnsi="宋体" w:cs="宋体"/>
                <w:color w:val="000000"/>
                <w:kern w:val="0"/>
                <w:sz w:val="22"/>
                <w:lang w:bidi="ar"/>
              </w:rPr>
              <w:t>接地铜箔</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34F785">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C6284A">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150</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0E0AC98">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米</w:t>
            </w:r>
          </w:p>
        </w:tc>
      </w:tr>
      <w:tr w14:paraId="73449E70">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ED7C7D">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394FEBE2">
            <w:pPr>
              <w:widowControl/>
              <w:jc w:val="center"/>
              <w:textAlignment w:val="center"/>
              <w:rPr>
                <w:rFonts w:ascii="宋体" w:hAnsi="宋体" w:cs="宋体"/>
                <w:color w:val="000000"/>
                <w:sz w:val="22"/>
              </w:rPr>
            </w:pPr>
            <w:r>
              <w:rPr>
                <w:rFonts w:hint="eastAsia" w:ascii="宋体" w:hAnsi="宋体" w:cs="宋体"/>
                <w:color w:val="000000"/>
                <w:kern w:val="0"/>
                <w:sz w:val="22"/>
                <w:lang w:bidi="ar"/>
              </w:rPr>
              <w:t>不锈钢压条</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37DCBE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108C0C9">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940F95">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套</w:t>
            </w:r>
          </w:p>
        </w:tc>
      </w:tr>
      <w:tr w14:paraId="5E38267F">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934ADD">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2D873C53">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开放式网格桥架</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57F23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77AE755">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50</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282F0A">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米</w:t>
            </w:r>
          </w:p>
        </w:tc>
      </w:tr>
      <w:tr w14:paraId="0E5446BB">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327FA8">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40CD56EA">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其他及辅材</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D9EF6F">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网络桥架所需要的辅助材料</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A0DA3A">
            <w:pPr>
              <w:widowControl/>
              <w:jc w:val="center"/>
              <w:textAlignment w:val="center"/>
              <w:rPr>
                <w:rFonts w:ascii="宋体" w:hAnsi="宋体" w:cs="宋体"/>
                <w:color w:val="000000"/>
                <w:kern w:val="0"/>
                <w:sz w:val="22"/>
                <w:lang w:bidi="ar"/>
              </w:rPr>
            </w:pPr>
            <w:r>
              <w:rPr>
                <w:rFonts w:hint="eastAsia" w:cs="宋体" w:asciiTheme="minorEastAsia" w:hAnsiTheme="minorEastAsia" w:eastAsiaTheme="minorEastAsia"/>
                <w:color w:val="000000"/>
                <w:kern w:val="0"/>
                <w:szCs w:val="24"/>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549D9C">
            <w:pPr>
              <w:widowControl/>
              <w:jc w:val="center"/>
              <w:textAlignment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批</w:t>
            </w:r>
          </w:p>
        </w:tc>
      </w:tr>
      <w:tr w14:paraId="1C678DAC">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AAD944">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1B43650D">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电源线</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25B77F0">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389C11">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100</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02E90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米</w:t>
            </w:r>
          </w:p>
        </w:tc>
      </w:tr>
      <w:tr w14:paraId="30965D77">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1A0BDB4">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5C415BE2">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电源线</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8464514">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F49DBE2">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30</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8DC59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米</w:t>
            </w:r>
          </w:p>
        </w:tc>
      </w:tr>
      <w:tr w14:paraId="32496E42">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3102862">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49691910">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电源线</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1FF7E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91106B0">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800</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B1CC196">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米</w:t>
            </w:r>
          </w:p>
        </w:tc>
      </w:tr>
      <w:tr w14:paraId="0490553C">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5C1AC50">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72254D6E">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强电动力柜</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A2A6C4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FB4B662">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947D1D">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套</w:t>
            </w:r>
          </w:p>
        </w:tc>
      </w:tr>
      <w:tr w14:paraId="40834B84">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47F8222">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7B415B83">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强电动力柜支撑架</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B85270">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603F2B">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CD6A8F">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套</w:t>
            </w:r>
          </w:p>
        </w:tc>
      </w:tr>
      <w:tr w14:paraId="0947090F">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6550DBA">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44B93DCA">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中心机房配电柜</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E83592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41FC29">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935B3DE">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套</w:t>
            </w:r>
          </w:p>
        </w:tc>
      </w:tr>
      <w:tr w14:paraId="4DEF3774">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A5B4A9">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074765B1">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防火桥架</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FE5CFD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4737BF">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110</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A0E108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米</w:t>
            </w:r>
          </w:p>
        </w:tc>
      </w:tr>
      <w:tr w14:paraId="24CF9FC7">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453B2FA">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14BC5B48">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机房迁移、光缆布线、熔接</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A407CD4">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D887C24">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633A90">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项</w:t>
            </w:r>
          </w:p>
        </w:tc>
      </w:tr>
      <w:tr w14:paraId="7A7EB899">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F43EB0">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55D9EE62">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柜式七氟丙烷灭火装置</w:t>
            </w:r>
          </w:p>
          <w:p w14:paraId="7171B311">
            <w:pPr>
              <w:widowControl/>
              <w:jc w:val="center"/>
              <w:textAlignment w:val="center"/>
              <w:rPr>
                <w:rFonts w:ascii="宋体" w:hAnsi="宋体" w:cs="宋体"/>
                <w:color w:val="000000"/>
                <w:kern w:val="0"/>
                <w:sz w:val="22"/>
                <w:lang w:bidi="ar"/>
              </w:rPr>
            </w:pPr>
            <w:r>
              <w:rPr>
                <w:rStyle w:val="305"/>
                <w:rFonts w:hint="default"/>
                <w:b w:val="0"/>
                <w:bCs w:val="0"/>
                <w:color w:val="auto"/>
                <w:lang w:bidi="ar"/>
              </w:rPr>
              <w:t>防护区：机房</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D5B946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C8B2C2C">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AA8D6E">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套</w:t>
            </w:r>
          </w:p>
        </w:tc>
      </w:tr>
      <w:tr w14:paraId="45E3D011">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6FDB8C">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717CBD62">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柜式七氟丙烷灭火装置</w:t>
            </w:r>
          </w:p>
          <w:p w14:paraId="609007B7">
            <w:pPr>
              <w:widowControl/>
              <w:jc w:val="center"/>
              <w:textAlignment w:val="center"/>
              <w:rPr>
                <w:rFonts w:ascii="宋体" w:hAnsi="宋体" w:cs="宋体"/>
                <w:color w:val="000000"/>
                <w:kern w:val="0"/>
                <w:sz w:val="22"/>
                <w:lang w:bidi="ar"/>
              </w:rPr>
            </w:pPr>
            <w:r>
              <w:rPr>
                <w:rStyle w:val="305"/>
                <w:rFonts w:hint="default"/>
                <w:b w:val="0"/>
                <w:bCs w:val="0"/>
                <w:color w:val="auto"/>
                <w:lang w:bidi="ar"/>
              </w:rPr>
              <w:t>防护区：UPS间</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991D9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A3EBDF">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8A01BB">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套</w:t>
            </w:r>
          </w:p>
        </w:tc>
      </w:tr>
      <w:tr w14:paraId="07C9E21F">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EFD6F9">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55B832E5">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七氟丙烷药剂</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112555">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162FED4">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160</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EA7CEF">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KG</w:t>
            </w:r>
          </w:p>
        </w:tc>
      </w:tr>
      <w:tr w14:paraId="7B7EE7D0">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9C1301">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666A22F7">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泄压口</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982144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E72F356">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2</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85A5EF">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套</w:t>
            </w:r>
          </w:p>
        </w:tc>
      </w:tr>
      <w:tr w14:paraId="7F57E24D">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86D4AD0">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405883E2">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感烟探测器（含底座）</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296C586">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E2EF5A9">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3</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55790B">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只</w:t>
            </w:r>
          </w:p>
        </w:tc>
      </w:tr>
      <w:tr w14:paraId="039E1D27">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2971E3">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6EF234A0">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感温探测器（含底座）</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4BFC7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9B228B2">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3</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5981D9">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只</w:t>
            </w:r>
          </w:p>
        </w:tc>
      </w:tr>
      <w:tr w14:paraId="33D67E6F">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21219C">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64DAFC3F">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智能声光警报器（含底座）</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A5059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0CD6EC">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4</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989676">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只</w:t>
            </w:r>
          </w:p>
        </w:tc>
      </w:tr>
      <w:tr w14:paraId="082FD770">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5FB7DF1">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1FB2B6E2">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紧急启停按钮</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9033DA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943904">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2</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9F315E">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只</w:t>
            </w:r>
          </w:p>
        </w:tc>
      </w:tr>
      <w:tr w14:paraId="78F5BEE2">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B2FD3E">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553C84BA">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气体释放警报器(放气指示灯)</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BD33C9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A4A3FB">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2</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DEE15C">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只</w:t>
            </w:r>
          </w:p>
        </w:tc>
      </w:tr>
      <w:tr w14:paraId="5A1D840E">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3DB530">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1A466FFC">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气体灭火控制器（主机）</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786209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193429">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2</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84E135B">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台</w:t>
            </w:r>
          </w:p>
        </w:tc>
      </w:tr>
      <w:tr w14:paraId="2144F810">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260750">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202783CD">
            <w:pPr>
              <w:widowControl/>
              <w:jc w:val="center"/>
              <w:textAlignment w:val="center"/>
              <w:rPr>
                <w:rFonts w:ascii="宋体" w:hAnsi="宋体" w:cs="宋体"/>
                <w:color w:val="000000"/>
                <w:sz w:val="22"/>
              </w:rPr>
            </w:pPr>
            <w:r>
              <w:rPr>
                <w:rFonts w:hint="eastAsia" w:ascii="宋体" w:hAnsi="宋体" w:cs="宋体"/>
                <w:color w:val="000000"/>
                <w:kern w:val="0"/>
                <w:sz w:val="22"/>
                <w:lang w:bidi="ar"/>
              </w:rPr>
              <w:t>服务器机柜</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6269D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901A43A">
            <w:pPr>
              <w:widowControl/>
              <w:jc w:val="center"/>
              <w:textAlignment w:val="center"/>
              <w:rPr>
                <w:rFonts w:ascii="宋体" w:hAnsi="宋体" w:cs="宋体"/>
                <w:color w:val="000000"/>
                <w:sz w:val="22"/>
              </w:rPr>
            </w:pPr>
            <w:r>
              <w:rPr>
                <w:rFonts w:hint="eastAsia" w:ascii="宋体" w:hAnsi="宋体" w:cs="宋体"/>
                <w:color w:val="000000"/>
                <w:kern w:val="0"/>
                <w:sz w:val="22"/>
                <w:lang w:bidi="ar"/>
              </w:rPr>
              <w:t>4</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C63E21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00B55DDE">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0913EC">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6D31ECE2">
            <w:pPr>
              <w:widowControl/>
              <w:jc w:val="center"/>
              <w:textAlignment w:val="center"/>
              <w:rPr>
                <w:rFonts w:ascii="宋体" w:hAnsi="宋体" w:cs="宋体"/>
                <w:color w:val="000000"/>
                <w:sz w:val="22"/>
              </w:rPr>
            </w:pPr>
            <w:r>
              <w:rPr>
                <w:rFonts w:hint="eastAsia" w:ascii="宋体" w:hAnsi="宋体" w:cs="宋体"/>
                <w:color w:val="000000"/>
                <w:kern w:val="0"/>
                <w:sz w:val="22"/>
                <w:lang w:bidi="ar"/>
              </w:rPr>
              <w:t>PDU插排</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2C262D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366959B">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4</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3EF6DF2">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bl>
    <w:p w14:paraId="54FCD97C">
      <w:pPr>
        <w:pStyle w:val="2"/>
        <w:numPr>
          <w:ilvl w:val="0"/>
          <w:numId w:val="10"/>
        </w:numPr>
      </w:pPr>
      <w:r>
        <w:rPr>
          <w:rFonts w:hint="eastAsia"/>
        </w:rPr>
        <w:t>总体设计</w:t>
      </w:r>
      <w:bookmarkEnd w:id="4"/>
      <w:r>
        <w:rPr>
          <w:rFonts w:hint="eastAsia"/>
        </w:rPr>
        <w:t>要求</w:t>
      </w:r>
    </w:p>
    <w:p w14:paraId="76EC0455">
      <w:pPr>
        <w:snapToGrid w:val="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1、本项目采用先进的技术架构，基于微服务架构的模块化设计系统，可以实现模块可快速在多个系统中迁移和部署，模块之间最小化依赖，实现故障隔离；在模块中增加或修改功能，只会影响当前模块，不会影响整个应用，提高代码合并、发布效率。</w:t>
      </w:r>
    </w:p>
    <w:p w14:paraId="2786B738">
      <w:pPr>
        <w:snapToGrid w:val="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2、通过消息处理引擎，借助事件消息的通讯完成模块间的协作。最终达到模块解耦的目的，大大提升系统的扩展能力。</w:t>
      </w:r>
    </w:p>
    <w:p w14:paraId="6AAB33AB">
      <w:pPr>
        <w:snapToGrid w:val="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3、采用“中台技术”设计医院一体化医院信息系统基础平台，通过三大中台（技术中台、数据中台、应用中台）构建平台底层，赋予平台基础服务和应用功能，以更灵活、可扩展的架构体系支持快速响应新业务需求。</w:t>
      </w:r>
    </w:p>
    <w:p w14:paraId="0F7D78E9">
      <w:pPr>
        <w:snapToGrid w:val="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4、软件设计严格执行国家有关软件工程的标准，保证系统质量，应用设计符合国际、国家、医疗卫生行业有关标准、规范和医院自身的发展规划；</w:t>
      </w:r>
    </w:p>
    <w:p w14:paraId="4495F0BC">
      <w:pPr>
        <w:snapToGrid w:val="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5、设计方案应立足先进技术，采用先进的设计理念、技术路线和技术体系架构，使项目具备国内领先的地位，以保证建成的系统使用周期长、性能指标高；</w:t>
      </w:r>
    </w:p>
    <w:p w14:paraId="15D6794C">
      <w:pPr>
        <w:snapToGrid w:val="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6、系统设计应考虑实用性，要体现出易于理解掌握、操作简单、提示清晰、逻辑性强，系统用户界面友好，操作简便；</w:t>
      </w:r>
    </w:p>
    <w:p w14:paraId="1B12CDAA">
      <w:pPr>
        <w:snapToGrid w:val="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7、投标人为满足采购人实际应用需求提供本项目系统维护必须的技术培训、技术支持与服务；</w:t>
      </w:r>
    </w:p>
    <w:p w14:paraId="4E002453">
      <w:pPr>
        <w:snapToGrid w:val="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8、产品采用大型关系型数据库设计和开发。</w:t>
      </w:r>
    </w:p>
    <w:p w14:paraId="3ADE0541">
      <w:pPr>
        <w:pStyle w:val="3"/>
      </w:pPr>
    </w:p>
    <w:p w14:paraId="5AE0DB7C">
      <w:pPr>
        <w:pStyle w:val="2"/>
        <w:numPr>
          <w:ilvl w:val="0"/>
          <w:numId w:val="0"/>
        </w:numPr>
      </w:pPr>
      <w:bookmarkStart w:id="5" w:name="_Toc131066793"/>
      <w:bookmarkStart w:id="6" w:name="_Toc202539064"/>
      <w:bookmarkStart w:id="7" w:name="_Toc129456527"/>
      <w:r>
        <w:rPr>
          <w:rFonts w:hint="eastAsia"/>
        </w:rPr>
        <w:t>三、项目</w:t>
      </w:r>
      <w:bookmarkEnd w:id="5"/>
      <w:bookmarkEnd w:id="6"/>
      <w:r>
        <w:rPr>
          <w:rFonts w:hint="eastAsia"/>
        </w:rPr>
        <w:t>建设需求及技术要求</w:t>
      </w:r>
    </w:p>
    <w:p w14:paraId="76B3B864">
      <w:pPr>
        <w:pStyle w:val="4"/>
        <w:numPr>
          <w:ilvl w:val="1"/>
          <w:numId w:val="16"/>
        </w:numPr>
        <w:rPr>
          <w:rFonts w:asciiTheme="minorEastAsia" w:hAnsiTheme="minorEastAsia" w:eastAsiaTheme="minorEastAsia"/>
        </w:rPr>
      </w:pPr>
      <w:bookmarkStart w:id="8" w:name="_Toc202539065"/>
      <w:bookmarkStart w:id="9" w:name="_Toc131287355"/>
      <w:r>
        <w:rPr>
          <w:rFonts w:hint="eastAsia" w:asciiTheme="minorEastAsia" w:hAnsiTheme="minorEastAsia" w:eastAsiaTheme="minorEastAsia"/>
        </w:rPr>
        <w:t>医共体信息平台</w:t>
      </w:r>
      <w:bookmarkEnd w:id="8"/>
      <w:bookmarkEnd w:id="9"/>
    </w:p>
    <w:p w14:paraId="2C7ED923">
      <w:pPr>
        <w:pStyle w:val="5"/>
        <w:numPr>
          <w:ilvl w:val="2"/>
          <w:numId w:val="16"/>
        </w:numPr>
        <w:rPr>
          <w:rFonts w:asciiTheme="minorEastAsia" w:hAnsiTheme="minorEastAsia" w:eastAsiaTheme="minorEastAsia"/>
        </w:rPr>
      </w:pPr>
      <w:bookmarkStart w:id="10" w:name="_Toc202539066"/>
      <w:bookmarkStart w:id="11" w:name="_Toc131287356"/>
      <w:bookmarkStart w:id="12" w:name="_Toc131066795"/>
      <w:bookmarkStart w:id="13" w:name="_Toc123738087"/>
      <w:r>
        <w:rPr>
          <w:rFonts w:hint="eastAsia" w:asciiTheme="minorEastAsia" w:hAnsiTheme="minorEastAsia" w:eastAsiaTheme="minorEastAsia"/>
        </w:rPr>
        <w:t>医共体数据中心</w:t>
      </w:r>
      <w:bookmarkEnd w:id="10"/>
    </w:p>
    <w:p w14:paraId="42610406">
      <w:pPr>
        <w:pStyle w:val="6"/>
        <w:numPr>
          <w:ilvl w:val="3"/>
          <w:numId w:val="16"/>
        </w:numPr>
        <w:rPr>
          <w:rFonts w:asciiTheme="minorEastAsia" w:hAnsiTheme="minorEastAsia" w:eastAsiaTheme="minorEastAsia"/>
        </w:rPr>
      </w:pPr>
      <w:bookmarkStart w:id="14" w:name="_Toc131287360"/>
      <w:bookmarkStart w:id="15" w:name="_Toc131066799"/>
      <w:r>
        <w:rPr>
          <w:rFonts w:hint="eastAsia" w:asciiTheme="minorEastAsia" w:hAnsiTheme="minorEastAsia" w:eastAsiaTheme="minorEastAsia"/>
        </w:rPr>
        <w:t>基础信息数据库</w:t>
      </w:r>
      <w:bookmarkEnd w:id="14"/>
      <w:bookmarkEnd w:id="15"/>
    </w:p>
    <w:p w14:paraId="0D21D7D8">
      <w:pPr>
        <w:ind w:firstLine="480" w:firstLineChars="200"/>
        <w:rPr>
          <w:rFonts w:asciiTheme="minorEastAsia" w:hAnsiTheme="minorEastAsia" w:eastAsiaTheme="minorEastAsia"/>
        </w:rPr>
      </w:pPr>
      <w:r>
        <w:rPr>
          <w:rFonts w:hint="eastAsia" w:asciiTheme="minorEastAsia" w:hAnsiTheme="minorEastAsia" w:eastAsiaTheme="minorEastAsia"/>
        </w:rPr>
        <w:t>基础数据库具备支持汇聚,为医共体内牵头医院和各成员单位提供基础信息服务的相关信息集合。基础信息库总体上包括机构信息、科室信息、术语字典、医疗卫生服务人员信息等。通过对基础数据的统一管理，实现基础数据的唯一标识和一致性，同时满足医共体内各医疗卫生机构的互联互通要求。</w:t>
      </w:r>
    </w:p>
    <w:p w14:paraId="66D0C59E">
      <w:pPr>
        <w:pStyle w:val="6"/>
        <w:numPr>
          <w:ilvl w:val="3"/>
          <w:numId w:val="16"/>
        </w:numPr>
        <w:rPr>
          <w:rFonts w:asciiTheme="minorEastAsia" w:hAnsiTheme="minorEastAsia" w:eastAsiaTheme="minorEastAsia"/>
        </w:rPr>
      </w:pPr>
      <w:bookmarkStart w:id="16" w:name="_Toc131287361"/>
      <w:bookmarkStart w:id="17" w:name="_Toc131066800"/>
      <w:r>
        <w:rPr>
          <w:rFonts w:hint="eastAsia" w:asciiTheme="minorEastAsia" w:hAnsiTheme="minorEastAsia" w:eastAsiaTheme="minorEastAsia"/>
        </w:rPr>
        <w:t>临床信息数据库</w:t>
      </w:r>
      <w:bookmarkEnd w:id="16"/>
      <w:bookmarkEnd w:id="17"/>
    </w:p>
    <w:p w14:paraId="2D09BF17">
      <w:pPr>
        <w:ind w:firstLine="480" w:firstLineChars="200"/>
        <w:rPr>
          <w:rFonts w:asciiTheme="minorEastAsia" w:hAnsiTheme="minorEastAsia" w:eastAsiaTheme="minorEastAsia"/>
        </w:rPr>
      </w:pPr>
      <w:r>
        <w:rPr>
          <w:rFonts w:hint="eastAsia" w:asciiTheme="minorEastAsia" w:hAnsiTheme="minorEastAsia" w:eastAsiaTheme="minorEastAsia"/>
        </w:rPr>
        <w:t>医共体临床数据库具备支持临床诊疗，以患者为中心重新构建的新的一层数据存储结构，临床数据库基于标准结构，将不同的协议传输数据、不同的格式存储信息进行结构性优化处理以达到快速提取的目的，可以更加高效地把任意来源的任何数据转换成为广泛应用的标准医疗行业格式，进行临床诊疗活动的操作、存储、编排、浏览以及统计汇总。</w:t>
      </w:r>
    </w:p>
    <w:p w14:paraId="2C38FC60">
      <w:pPr>
        <w:ind w:firstLine="480" w:firstLineChars="200"/>
        <w:rPr>
          <w:rFonts w:asciiTheme="minorEastAsia" w:hAnsiTheme="minorEastAsia" w:eastAsiaTheme="minorEastAsia"/>
        </w:rPr>
      </w:pPr>
      <w:r>
        <w:rPr>
          <w:rFonts w:hint="eastAsia" w:asciiTheme="minorEastAsia" w:hAnsiTheme="minorEastAsia" w:eastAsiaTheme="minorEastAsia"/>
        </w:rPr>
        <w:t>临床数据库支持一个整合多个来源的临床数据集，提供以患者为中心的统一视图的数据库，在临床数据库中，诊疗数据是围绕患者为中心进行组织的，临床用户可以从多个角度查询、浏览和分析数据。</w:t>
      </w:r>
    </w:p>
    <w:p w14:paraId="1C72D8DC">
      <w:pPr>
        <w:ind w:firstLine="480" w:firstLineChars="200"/>
        <w:rPr>
          <w:rFonts w:asciiTheme="minorEastAsia" w:hAnsiTheme="minorEastAsia" w:eastAsiaTheme="minorEastAsia"/>
        </w:rPr>
      </w:pPr>
      <w:r>
        <w:rPr>
          <w:rFonts w:hint="eastAsia" w:asciiTheme="minorEastAsia" w:hAnsiTheme="minorEastAsia" w:eastAsiaTheme="minorEastAsia"/>
        </w:rPr>
        <w:t>临床数据库支持一个面向主题的、集成的、可变的、当前的细节数据集合，用于支持即时性的、操作性的、集成的全体信息的需求。临床数据库数据集主要包括居民患者基本信息、病历概要、门（急）诊诊疗记录、住院诊疗记录、健康体检记录、转诊（院）记录、法定医学证明及报告等。</w:t>
      </w:r>
    </w:p>
    <w:p w14:paraId="39AA46D9">
      <w:pPr>
        <w:pStyle w:val="6"/>
        <w:numPr>
          <w:ilvl w:val="3"/>
          <w:numId w:val="16"/>
        </w:numPr>
        <w:rPr>
          <w:rFonts w:asciiTheme="minorEastAsia" w:hAnsiTheme="minorEastAsia" w:eastAsiaTheme="minorEastAsia"/>
        </w:rPr>
      </w:pPr>
      <w:bookmarkStart w:id="18" w:name="_Toc131287362"/>
      <w:bookmarkStart w:id="19" w:name="_Toc131066801"/>
      <w:r>
        <w:rPr>
          <w:rFonts w:hint="eastAsia" w:asciiTheme="minorEastAsia" w:hAnsiTheme="minorEastAsia" w:eastAsiaTheme="minorEastAsia"/>
        </w:rPr>
        <w:t>运营信息数据库</w:t>
      </w:r>
      <w:bookmarkEnd w:id="18"/>
      <w:bookmarkEnd w:id="19"/>
    </w:p>
    <w:p w14:paraId="3521EF6B">
      <w:pPr>
        <w:adjustRightInd w:val="0"/>
        <w:ind w:firstLine="480" w:firstLineChars="200"/>
        <w:rPr>
          <w:rFonts w:asciiTheme="minorEastAsia" w:hAnsiTheme="minorEastAsia" w:eastAsiaTheme="minorEastAsia"/>
          <w:szCs w:val="24"/>
        </w:rPr>
      </w:pPr>
      <w:r>
        <w:rPr>
          <w:rFonts w:hint="eastAsia" w:asciiTheme="minorEastAsia" w:hAnsiTheme="minorEastAsia" w:eastAsiaTheme="minorEastAsia"/>
        </w:rPr>
        <w:t>1、支持</w:t>
      </w:r>
      <w:r>
        <w:rPr>
          <w:rFonts w:hint="eastAsia" w:asciiTheme="minorEastAsia" w:hAnsiTheme="minorEastAsia" w:eastAsiaTheme="minorEastAsia"/>
          <w:szCs w:val="24"/>
        </w:rPr>
        <w:t>在临床数据、医院管理类数据以及财务类数据采集的基础上对各类数据进行归类整合，并加以数据挖掘分析利用。</w:t>
      </w:r>
    </w:p>
    <w:p w14:paraId="799CCB60">
      <w:pPr>
        <w:pStyle w:val="3"/>
        <w:rPr>
          <w:rFonts w:asciiTheme="minorEastAsia" w:hAnsiTheme="minorEastAsia" w:eastAsiaTheme="minorEastAsia"/>
        </w:rPr>
      </w:pPr>
      <w:r>
        <w:rPr>
          <w:rFonts w:hint="eastAsia" w:asciiTheme="minorEastAsia" w:hAnsiTheme="minorEastAsia" w:eastAsiaTheme="minorEastAsia"/>
        </w:rPr>
        <w:t>2、支持存储医疗机构内部信息系统运营原始业务数据，所存储的数据均是支持各类运营决策类系统分析活动的所需数据。为决策类系统提供基础的数据支持，通过该数据库，决策类系统能够快速的获取到不同角度的数据，并且高效的得到需要的结果，有助于提升该类系统的运行效率</w:t>
      </w:r>
      <w:r>
        <w:rPr>
          <w:rFonts w:asciiTheme="minorEastAsia" w:hAnsiTheme="minorEastAsia" w:eastAsiaTheme="minorEastAsia"/>
        </w:rPr>
        <w:t>。</w:t>
      </w:r>
    </w:p>
    <w:p w14:paraId="09CB5F27">
      <w:pPr>
        <w:pStyle w:val="3"/>
        <w:rPr>
          <w:rFonts w:asciiTheme="minorEastAsia" w:hAnsiTheme="minorEastAsia" w:eastAsiaTheme="minorEastAsia"/>
        </w:rPr>
      </w:pPr>
      <w:r>
        <w:rPr>
          <w:rFonts w:hint="eastAsia" w:asciiTheme="minorEastAsia" w:hAnsiTheme="minorEastAsia" w:eastAsiaTheme="minorEastAsia"/>
        </w:rPr>
        <w:t>3、该数据包含：病人住院费用、病人门诊费用、预交金信息、结算信息、物资信息、设备信息、人事信息、财务信息等。</w:t>
      </w:r>
    </w:p>
    <w:p w14:paraId="4D1F9D71">
      <w:pPr>
        <w:pStyle w:val="6"/>
        <w:numPr>
          <w:ilvl w:val="3"/>
          <w:numId w:val="16"/>
        </w:numPr>
        <w:rPr>
          <w:rFonts w:asciiTheme="minorEastAsia" w:hAnsiTheme="minorEastAsia" w:eastAsiaTheme="minorEastAsia"/>
        </w:rPr>
      </w:pPr>
      <w:bookmarkStart w:id="20" w:name="_Toc131066802"/>
      <w:bookmarkStart w:id="21" w:name="_Toc131287363"/>
      <w:r>
        <w:rPr>
          <w:rFonts w:hint="eastAsia" w:asciiTheme="minorEastAsia" w:hAnsiTheme="minorEastAsia" w:eastAsiaTheme="minorEastAsia"/>
        </w:rPr>
        <w:t>医疗资源数据库</w:t>
      </w:r>
      <w:bookmarkEnd w:id="20"/>
      <w:bookmarkEnd w:id="21"/>
    </w:p>
    <w:p w14:paraId="6D2BABCF">
      <w:pPr>
        <w:adjustRightInd w:val="0"/>
        <w:ind w:firstLine="480" w:firstLineChars="200"/>
        <w:rPr>
          <w:rFonts w:asciiTheme="minorEastAsia" w:hAnsiTheme="minorEastAsia" w:eastAsiaTheme="minorEastAsia"/>
          <w:szCs w:val="24"/>
        </w:rPr>
      </w:pPr>
      <w:r>
        <w:rPr>
          <w:rFonts w:hint="eastAsia" w:asciiTheme="minorEastAsia" w:hAnsiTheme="minorEastAsia" w:eastAsiaTheme="minorEastAsia"/>
        </w:rPr>
        <w:t>1、支持</w:t>
      </w:r>
      <w:r>
        <w:rPr>
          <w:rFonts w:hint="eastAsia" w:asciiTheme="minorEastAsia" w:hAnsiTheme="minorEastAsia" w:eastAsiaTheme="minorEastAsia"/>
          <w:szCs w:val="24"/>
        </w:rPr>
        <w:t>汇聚医共体内部所有提供医疗服务的生产要素信息，包括专家资源、床位资源、检查资源、药品资源、检验(病理)资源等各类医疗资源，以便医共体按照居民患者实际需求，合理分配、公平有效利用医疗资源，促进医疗服务共享，提高医疗资源利用效率。</w:t>
      </w:r>
    </w:p>
    <w:p w14:paraId="371EC554">
      <w:pPr>
        <w:pStyle w:val="5"/>
        <w:numPr>
          <w:ilvl w:val="2"/>
          <w:numId w:val="16"/>
        </w:numPr>
        <w:rPr>
          <w:rFonts w:ascii="Times New Roman" w:hAnsi="Times New Roman"/>
        </w:rPr>
      </w:pPr>
      <w:bookmarkStart w:id="22" w:name="_Toc147920875"/>
      <w:r>
        <w:rPr>
          <w:rFonts w:hint="eastAsia"/>
        </w:rPr>
        <w:t>医共体数据</w:t>
      </w:r>
      <w:bookmarkEnd w:id="22"/>
      <w:r>
        <w:rPr>
          <w:rFonts w:hint="eastAsia"/>
        </w:rPr>
        <w:t>管理</w:t>
      </w:r>
    </w:p>
    <w:p w14:paraId="10103554">
      <w:pPr>
        <w:pStyle w:val="6"/>
        <w:numPr>
          <w:ilvl w:val="3"/>
          <w:numId w:val="16"/>
        </w:numPr>
      </w:pPr>
      <w:bookmarkStart w:id="23" w:name="_Toc147920876"/>
      <w:bookmarkStart w:id="24" w:name="_Toc10"/>
      <w:bookmarkStart w:id="25" w:name="_Toc12165"/>
      <w:bookmarkStart w:id="26" w:name="_Toc114819380"/>
      <w:r>
        <w:rPr>
          <w:rFonts w:hint="eastAsia"/>
        </w:rPr>
        <w:t>数据ETL管理</w:t>
      </w:r>
      <w:bookmarkEnd w:id="23"/>
      <w:bookmarkEnd w:id="24"/>
      <w:bookmarkEnd w:id="25"/>
      <w:bookmarkEnd w:id="26"/>
      <w:bookmarkStart w:id="27" w:name="_Toc28111"/>
    </w:p>
    <w:p w14:paraId="77280B5D">
      <w:pPr>
        <w:pStyle w:val="3"/>
        <w:numPr>
          <w:ilvl w:val="0"/>
          <w:numId w:val="17"/>
        </w:numPr>
      </w:pPr>
      <w:r>
        <w:rPr>
          <w:rFonts w:hint="eastAsia"/>
        </w:rPr>
        <w:t>具备业务数据从HIS、EMR、LIS、PACS等业务系统数据库</w:t>
      </w:r>
      <w:r>
        <w:rPr>
          <w:rStyle w:val="52"/>
          <w:rFonts w:hint="eastAsia"/>
        </w:rPr>
        <w:t>汇聚</w:t>
      </w:r>
      <w:r>
        <w:rPr>
          <w:rFonts w:hint="eastAsia"/>
        </w:rPr>
        <w:t>到数据中心的过程。</w:t>
      </w:r>
    </w:p>
    <w:p w14:paraId="644C1849">
      <w:pPr>
        <w:pStyle w:val="3"/>
        <w:numPr>
          <w:ilvl w:val="0"/>
          <w:numId w:val="17"/>
        </w:numPr>
      </w:pPr>
      <w:r>
        <w:rPr>
          <w:rFonts w:hint="eastAsia"/>
        </w:rPr>
        <w:t>具备对定时采集的相关业务数据进行贴源采集。另外，针对数据中心标准数据的建设，同样需要ETL进行对贴源层数据的清洗、转换操作，以最终达到数据标准的统一。</w:t>
      </w:r>
    </w:p>
    <w:p w14:paraId="463392EB">
      <w:pPr>
        <w:pStyle w:val="3"/>
        <w:numPr>
          <w:ilvl w:val="0"/>
          <w:numId w:val="17"/>
        </w:numPr>
      </w:pPr>
      <w:r>
        <w:rPr>
          <w:rFonts w:hint="eastAsia"/>
        </w:rPr>
        <w:t>具体要求包括</w:t>
      </w:r>
      <w:bookmarkStart w:id="28" w:name="_Toc21172"/>
      <w:bookmarkStart w:id="29" w:name="_Toc535329156"/>
      <w:bookmarkStart w:id="30" w:name="_Toc28460"/>
      <w:bookmarkStart w:id="31" w:name="_Toc114819381"/>
      <w:r>
        <w:rPr>
          <w:rFonts w:hint="eastAsia"/>
        </w:rPr>
        <w:t>数据抽取</w:t>
      </w:r>
      <w:bookmarkEnd w:id="28"/>
      <w:bookmarkEnd w:id="29"/>
      <w:bookmarkEnd w:id="30"/>
      <w:bookmarkEnd w:id="31"/>
      <w:r>
        <w:rPr>
          <w:rFonts w:hint="eastAsia"/>
        </w:rPr>
        <w:t>、</w:t>
      </w:r>
      <w:bookmarkStart w:id="32" w:name="_Toc16852"/>
      <w:bookmarkStart w:id="33" w:name="_Toc9015"/>
      <w:bookmarkStart w:id="34" w:name="_Toc114819382"/>
      <w:bookmarkStart w:id="35" w:name="_Toc535329157"/>
      <w:r>
        <w:rPr>
          <w:rFonts w:hint="eastAsia"/>
        </w:rPr>
        <w:t>数据清洗</w:t>
      </w:r>
      <w:bookmarkEnd w:id="32"/>
      <w:bookmarkEnd w:id="33"/>
      <w:bookmarkEnd w:id="34"/>
      <w:bookmarkEnd w:id="35"/>
      <w:r>
        <w:rPr>
          <w:rFonts w:hint="eastAsia"/>
        </w:rPr>
        <w:t>、</w:t>
      </w:r>
      <w:bookmarkStart w:id="36" w:name="_Toc27846"/>
      <w:bookmarkStart w:id="37" w:name="_Toc23494"/>
      <w:bookmarkStart w:id="38" w:name="_Toc535329158"/>
      <w:bookmarkStart w:id="39" w:name="_Toc114819383"/>
      <w:r>
        <w:rPr>
          <w:rFonts w:hint="eastAsia"/>
        </w:rPr>
        <w:t>数据转换</w:t>
      </w:r>
      <w:bookmarkEnd w:id="36"/>
      <w:bookmarkEnd w:id="37"/>
      <w:bookmarkEnd w:id="38"/>
      <w:bookmarkEnd w:id="39"/>
      <w:r>
        <w:rPr>
          <w:rFonts w:hint="eastAsia"/>
        </w:rPr>
        <w:t>、</w:t>
      </w:r>
      <w:bookmarkStart w:id="40" w:name="_Toc16874"/>
      <w:bookmarkStart w:id="41" w:name="_Toc25334"/>
      <w:bookmarkStart w:id="42" w:name="_Toc535329159"/>
      <w:bookmarkStart w:id="43" w:name="_Toc114819384"/>
      <w:r>
        <w:rPr>
          <w:rFonts w:hint="eastAsia"/>
        </w:rPr>
        <w:t>数据装载</w:t>
      </w:r>
      <w:bookmarkEnd w:id="40"/>
      <w:bookmarkEnd w:id="41"/>
      <w:bookmarkEnd w:id="42"/>
      <w:bookmarkEnd w:id="43"/>
      <w:r>
        <w:rPr>
          <w:rFonts w:hint="eastAsia"/>
        </w:rPr>
        <w:t>、</w:t>
      </w:r>
      <w:bookmarkStart w:id="44" w:name="_Toc114819385"/>
      <w:bookmarkStart w:id="45" w:name="_Toc15352"/>
      <w:bookmarkStart w:id="46" w:name="_Toc30142"/>
      <w:r>
        <w:rPr>
          <w:rFonts w:hint="eastAsia"/>
        </w:rPr>
        <w:t>调度管理</w:t>
      </w:r>
      <w:bookmarkEnd w:id="44"/>
      <w:bookmarkEnd w:id="45"/>
      <w:bookmarkEnd w:id="46"/>
    </w:p>
    <w:bookmarkEnd w:id="27"/>
    <w:p w14:paraId="22A7A1E6">
      <w:pPr>
        <w:pStyle w:val="6"/>
        <w:numPr>
          <w:ilvl w:val="3"/>
          <w:numId w:val="16"/>
        </w:numPr>
      </w:pPr>
      <w:bookmarkStart w:id="47" w:name="_Toc8016"/>
      <w:bookmarkStart w:id="48" w:name="_Toc7895"/>
      <w:bookmarkStart w:id="49" w:name="_Toc24820"/>
      <w:bookmarkStart w:id="50" w:name="_Toc8621"/>
      <w:bookmarkStart w:id="51" w:name="_Toc114819386"/>
      <w:bookmarkStart w:id="52" w:name="_Toc147920877"/>
      <w:r>
        <w:rPr>
          <w:rFonts w:hint="eastAsia"/>
        </w:rPr>
        <w:t>主数据</w:t>
      </w:r>
      <w:bookmarkEnd w:id="47"/>
      <w:bookmarkEnd w:id="48"/>
      <w:r>
        <w:rPr>
          <w:rFonts w:hint="eastAsia"/>
        </w:rPr>
        <w:t>管理</w:t>
      </w:r>
      <w:bookmarkEnd w:id="49"/>
      <w:bookmarkEnd w:id="50"/>
      <w:bookmarkEnd w:id="51"/>
      <w:bookmarkEnd w:id="52"/>
    </w:p>
    <w:p w14:paraId="36C002E3">
      <w:pPr>
        <w:pStyle w:val="3"/>
        <w:numPr>
          <w:ilvl w:val="0"/>
          <w:numId w:val="18"/>
        </w:numPr>
      </w:pPr>
      <w:r>
        <w:rPr>
          <w:rFonts w:hint="eastAsia" w:asciiTheme="minorEastAsia" w:hAnsiTheme="minorEastAsia" w:eastAsiaTheme="minorEastAsia"/>
        </w:rPr>
        <w:t>具备支持</w:t>
      </w:r>
      <w:r>
        <w:rPr>
          <w:rFonts w:hint="eastAsia"/>
        </w:rPr>
        <w:t>医院内部系统间的共享数据，数据实体（例如，患者、疾病、药品、供应商、人员和科室等数据）和数据字典（性别、学历等）。</w:t>
      </w:r>
    </w:p>
    <w:p w14:paraId="2D1E1651">
      <w:pPr>
        <w:pStyle w:val="3"/>
        <w:numPr>
          <w:ilvl w:val="0"/>
          <w:numId w:val="18"/>
        </w:numPr>
      </w:pPr>
      <w:r>
        <w:rPr>
          <w:rFonts w:hint="eastAsia"/>
        </w:rPr>
        <w:t>主数据管理需满足医院的系统协调、重用、通用、正确的业务数据(主数据)。通常，我们会把主数据管理作为应用流程的补充，通过从各个操作/事务型应用以及分析型应用中分离出主要的信息，使其成为一个集中的、独立于医院中各种其他应用核心资源，从而使得医院的核心信息得以重用并确保各个操作/事务型应用以及分析型应用间的核心数据的一致性。通过主数据管理，改变医院数据利用的现状，从而更好地为医院信息集成做好铺垫。</w:t>
      </w:r>
    </w:p>
    <w:p w14:paraId="52AE4BE4">
      <w:pPr>
        <w:pStyle w:val="3"/>
      </w:pPr>
      <w:r>
        <w:rPr>
          <w:rFonts w:hint="eastAsia"/>
        </w:rPr>
        <w:t>3、具备定义数据的值域和制定标准，建立院内标准体系为实现互操作提供必要的语义保证，同时对患者、医护人员、科室、医嘱等基础数据及相关主索引实行统一管理。</w:t>
      </w:r>
    </w:p>
    <w:p w14:paraId="6CA4D17C">
      <w:pPr>
        <w:pStyle w:val="3"/>
      </w:pPr>
      <w:r>
        <w:rPr>
          <w:rFonts w:hint="eastAsia"/>
        </w:rPr>
        <w:t>4、</w:t>
      </w:r>
      <w:bookmarkStart w:id="53" w:name="_Toc8332"/>
      <w:bookmarkStart w:id="54" w:name="_Toc7919"/>
      <w:bookmarkStart w:id="55" w:name="_Toc29714"/>
      <w:bookmarkStart w:id="56" w:name="_Toc114819387"/>
      <w:r>
        <w:rPr>
          <w:rFonts w:hint="eastAsia"/>
        </w:rPr>
        <w:t>支持基础字典管理</w:t>
      </w:r>
      <w:bookmarkEnd w:id="53"/>
      <w:bookmarkEnd w:id="54"/>
      <w:bookmarkEnd w:id="55"/>
      <w:bookmarkEnd w:id="56"/>
      <w:r>
        <w:rPr>
          <w:rFonts w:hint="eastAsia"/>
        </w:rPr>
        <w:t>、</w:t>
      </w:r>
      <w:bookmarkStart w:id="57" w:name="_Toc12618"/>
      <w:bookmarkStart w:id="58" w:name="_Toc27417"/>
      <w:bookmarkStart w:id="59" w:name="_Toc30776"/>
      <w:bookmarkStart w:id="60" w:name="_Toc114819388"/>
      <w:r>
        <w:rPr>
          <w:rFonts w:hint="eastAsia"/>
        </w:rPr>
        <w:t>业务字典管理</w:t>
      </w:r>
      <w:bookmarkEnd w:id="57"/>
      <w:bookmarkEnd w:id="58"/>
      <w:bookmarkEnd w:id="59"/>
      <w:bookmarkEnd w:id="60"/>
      <w:r>
        <w:rPr>
          <w:rFonts w:hint="eastAsia"/>
        </w:rPr>
        <w:t>、</w:t>
      </w:r>
      <w:bookmarkStart w:id="61" w:name="_Toc24476"/>
      <w:bookmarkStart w:id="62" w:name="_Toc12295"/>
      <w:bookmarkStart w:id="63" w:name="_Toc9595"/>
      <w:bookmarkStart w:id="64" w:name="_Toc114819389"/>
      <w:r>
        <w:rPr>
          <w:rFonts w:hint="eastAsia"/>
        </w:rPr>
        <w:t>字典映射管理</w:t>
      </w:r>
      <w:bookmarkEnd w:id="61"/>
      <w:bookmarkEnd w:id="62"/>
      <w:bookmarkEnd w:id="63"/>
      <w:bookmarkEnd w:id="64"/>
      <w:r>
        <w:rPr>
          <w:rFonts w:hint="eastAsia"/>
        </w:rPr>
        <w:t>、</w:t>
      </w:r>
      <w:bookmarkStart w:id="65" w:name="_Toc2216"/>
      <w:bookmarkStart w:id="66" w:name="_Toc114819390"/>
      <w:bookmarkStart w:id="67" w:name="_Toc12140"/>
      <w:bookmarkStart w:id="68" w:name="_Toc22821"/>
      <w:r>
        <w:rPr>
          <w:rFonts w:hint="eastAsia"/>
        </w:rPr>
        <w:t>主数据服务</w:t>
      </w:r>
      <w:bookmarkEnd w:id="65"/>
      <w:r>
        <w:rPr>
          <w:rFonts w:hint="eastAsia"/>
        </w:rPr>
        <w:t>管理</w:t>
      </w:r>
      <w:bookmarkEnd w:id="66"/>
      <w:bookmarkEnd w:id="67"/>
      <w:bookmarkEnd w:id="68"/>
    </w:p>
    <w:p w14:paraId="4931D818">
      <w:pPr>
        <w:pStyle w:val="6"/>
        <w:numPr>
          <w:ilvl w:val="3"/>
          <w:numId w:val="16"/>
        </w:numPr>
      </w:pPr>
      <w:bookmarkStart w:id="69" w:name="_Toc114819391"/>
      <w:bookmarkStart w:id="70" w:name="_Toc8635"/>
      <w:bookmarkStart w:id="71" w:name="_Toc147920878"/>
      <w:bookmarkStart w:id="72" w:name="_Toc31677"/>
      <w:r>
        <w:rPr>
          <w:rFonts w:hint="eastAsia"/>
        </w:rPr>
        <w:t>术语管理</w:t>
      </w:r>
      <w:bookmarkEnd w:id="69"/>
      <w:bookmarkEnd w:id="70"/>
      <w:bookmarkEnd w:id="71"/>
      <w:bookmarkEnd w:id="72"/>
    </w:p>
    <w:p w14:paraId="0BC88100">
      <w:pPr>
        <w:pStyle w:val="3"/>
      </w:pPr>
      <w:r>
        <w:rPr>
          <w:rFonts w:hint="eastAsia"/>
        </w:rPr>
        <w:t>1、医疗术语</w:t>
      </w:r>
      <w:r>
        <w:rPr>
          <w:rFonts w:hint="eastAsia" w:asciiTheme="minorEastAsia" w:hAnsiTheme="minorEastAsia" w:eastAsiaTheme="minorEastAsia"/>
        </w:rPr>
        <w:t>支持</w:t>
      </w:r>
      <w:r>
        <w:rPr>
          <w:rFonts w:hint="eastAsia"/>
        </w:rPr>
        <w:t>可以为院内各医务人员提供权威、统一、受控的参考信息。一方面可以保证院内医务人员在使用内容时在关键词汇的使用上按照术语体系的统一要求进行规范处理，保证词汇和内容上的一致性；另一方面也可以让医务人员能够有渠道迅速查询和获取与术语相关的关键知识，帮助提升内容创作的质量。</w:t>
      </w:r>
    </w:p>
    <w:p w14:paraId="11A4CDE8">
      <w:pPr>
        <w:pStyle w:val="3"/>
      </w:pPr>
      <w:r>
        <w:rPr>
          <w:rFonts w:hint="eastAsia" w:asciiTheme="minorEastAsia" w:hAnsiTheme="minorEastAsia" w:eastAsiaTheme="minorEastAsia"/>
        </w:rPr>
        <w:t>2、</w:t>
      </w:r>
      <w:r>
        <w:rPr>
          <w:rFonts w:hint="eastAsia"/>
        </w:rPr>
        <w:t>术语范围需满足医疗卫生领域所涉及到的各类专业词汇，对医疗行业特定术语的名词解释，需要由专业权威人员进行术语的管理。满足能进行术语的日常新增、修改、审核发布外，仍需要进行针对使用者的错误反馈机制，保证术语准确性的不断完善。</w:t>
      </w:r>
    </w:p>
    <w:p w14:paraId="1ED0DF2A">
      <w:pPr>
        <w:pStyle w:val="3"/>
      </w:pPr>
      <w:r>
        <w:rPr>
          <w:rFonts w:hint="eastAsia"/>
        </w:rPr>
        <w:t>3、具备</w:t>
      </w:r>
      <w:bookmarkStart w:id="73" w:name="_Toc114819392"/>
      <w:bookmarkStart w:id="74" w:name="_Toc20620"/>
      <w:bookmarkStart w:id="75" w:name="_Toc20558"/>
      <w:r>
        <w:rPr>
          <w:rFonts w:hint="eastAsia"/>
        </w:rPr>
        <w:t>术语规范管理</w:t>
      </w:r>
      <w:bookmarkEnd w:id="73"/>
      <w:bookmarkEnd w:id="74"/>
      <w:bookmarkEnd w:id="75"/>
      <w:r>
        <w:rPr>
          <w:rFonts w:hint="eastAsia"/>
        </w:rPr>
        <w:t>、</w:t>
      </w:r>
      <w:bookmarkStart w:id="76" w:name="_Toc114819393"/>
      <w:bookmarkStart w:id="77" w:name="_Toc16977"/>
      <w:bookmarkStart w:id="78" w:name="_Toc8125"/>
      <w:r>
        <w:rPr>
          <w:rFonts w:hint="eastAsia"/>
        </w:rPr>
        <w:t>术语维护管理</w:t>
      </w:r>
      <w:bookmarkEnd w:id="76"/>
      <w:bookmarkEnd w:id="77"/>
      <w:bookmarkEnd w:id="78"/>
      <w:r>
        <w:rPr>
          <w:rFonts w:hint="eastAsia"/>
        </w:rPr>
        <w:t>、</w:t>
      </w:r>
      <w:bookmarkStart w:id="79" w:name="_Toc114819394"/>
      <w:bookmarkStart w:id="80" w:name="_Toc897"/>
      <w:bookmarkStart w:id="81" w:name="_Toc1030"/>
      <w:r>
        <w:rPr>
          <w:rFonts w:hint="eastAsia"/>
        </w:rPr>
        <w:t>术语审核发布管理</w:t>
      </w:r>
      <w:bookmarkEnd w:id="79"/>
      <w:bookmarkEnd w:id="80"/>
      <w:bookmarkEnd w:id="81"/>
      <w:r>
        <w:rPr>
          <w:rFonts w:hint="eastAsia"/>
        </w:rPr>
        <w:t>、</w:t>
      </w:r>
      <w:bookmarkStart w:id="82" w:name="_Toc114819395"/>
      <w:bookmarkStart w:id="83" w:name="_Toc30129"/>
      <w:bookmarkStart w:id="84" w:name="_Toc1222"/>
      <w:r>
        <w:rPr>
          <w:rFonts w:hint="eastAsia"/>
        </w:rPr>
        <w:t>术语反馈管理</w:t>
      </w:r>
      <w:bookmarkEnd w:id="82"/>
      <w:bookmarkEnd w:id="83"/>
      <w:bookmarkEnd w:id="84"/>
      <w:r>
        <w:rPr>
          <w:rFonts w:hint="eastAsia"/>
        </w:rPr>
        <w:t>、</w:t>
      </w:r>
      <w:bookmarkStart w:id="85" w:name="_Toc20509"/>
      <w:bookmarkStart w:id="86" w:name="_Toc114819396"/>
      <w:bookmarkStart w:id="87" w:name="_Toc19353"/>
      <w:r>
        <w:rPr>
          <w:rFonts w:hint="eastAsia"/>
        </w:rPr>
        <w:t>术语权限管理</w:t>
      </w:r>
      <w:bookmarkEnd w:id="85"/>
      <w:bookmarkEnd w:id="86"/>
      <w:bookmarkEnd w:id="87"/>
      <w:r>
        <w:rPr>
          <w:rFonts w:hint="eastAsia"/>
        </w:rPr>
        <w:t>、</w:t>
      </w:r>
      <w:bookmarkStart w:id="88" w:name="_Toc114819397"/>
      <w:bookmarkStart w:id="89" w:name="_Toc26564"/>
      <w:bookmarkStart w:id="90" w:name="_Toc30114"/>
      <w:r>
        <w:rPr>
          <w:rFonts w:hint="eastAsia"/>
        </w:rPr>
        <w:t>术语服务管理</w:t>
      </w:r>
      <w:bookmarkEnd w:id="88"/>
      <w:bookmarkEnd w:id="89"/>
      <w:bookmarkEnd w:id="90"/>
      <w:r>
        <w:rPr>
          <w:rFonts w:hint="eastAsia"/>
        </w:rPr>
        <w:t>。</w:t>
      </w:r>
    </w:p>
    <w:p w14:paraId="77CC930C">
      <w:pPr>
        <w:pStyle w:val="6"/>
        <w:numPr>
          <w:ilvl w:val="3"/>
          <w:numId w:val="16"/>
        </w:numPr>
      </w:pPr>
      <w:bookmarkStart w:id="91" w:name="_Toc114819398"/>
      <w:bookmarkStart w:id="92" w:name="_Toc147920879"/>
      <w:bookmarkStart w:id="93" w:name="_Toc19573"/>
      <w:bookmarkStart w:id="94" w:name="_Toc8375"/>
      <w:r>
        <w:rPr>
          <w:rFonts w:hint="eastAsia"/>
        </w:rPr>
        <w:t>患者主索引管理</w:t>
      </w:r>
      <w:bookmarkEnd w:id="91"/>
      <w:bookmarkEnd w:id="92"/>
      <w:bookmarkEnd w:id="93"/>
      <w:bookmarkEnd w:id="94"/>
    </w:p>
    <w:p w14:paraId="5A5ABA5C">
      <w:pPr>
        <w:pStyle w:val="3"/>
      </w:pPr>
      <w:r>
        <w:rPr>
          <w:rFonts w:hint="eastAsia"/>
        </w:rPr>
        <w:t>建立全院级统一患者主索引（MPI），</w:t>
      </w:r>
      <w:r>
        <w:rPr>
          <w:rFonts w:hint="eastAsia" w:asciiTheme="minorEastAsia" w:hAnsiTheme="minorEastAsia" w:eastAsiaTheme="minorEastAsia"/>
        </w:rPr>
        <w:t>具备支持</w:t>
      </w:r>
      <w:r>
        <w:rPr>
          <w:rFonts w:hint="eastAsia"/>
        </w:rPr>
        <w:t>能够从各种不同的子系统中取得患者的信息并进行组织，串连起所有患者相关信息，包括基本信息、过敏信息、家族病史、历次诊疗信息、检查检验信息、患者主管医生、历次电子病历、收费情况（门诊、住院）等信息，并以此为基础实现医院数据层面的整合，包括电子病历的数据整合以及医院业务和管理数据的整合，同时提供一个搜索引擎，提供给其它应用程序对患者的智能搜索功能。患者主索引也是客户服务、成本核算、病种分析、决策支持等管理的重要主线。</w:t>
      </w:r>
    </w:p>
    <w:p w14:paraId="6B5A4B18">
      <w:pPr>
        <w:pStyle w:val="3"/>
        <w:ind w:firstLine="420"/>
      </w:pPr>
      <w:r>
        <w:rPr>
          <w:rFonts w:hint="eastAsia" w:ascii="Times New Roman" w:hAnsi="Times New Roman"/>
          <w:kern w:val="0"/>
          <w:sz w:val="21"/>
          <w:szCs w:val="21"/>
        </w:rPr>
        <w:t>1、▲支持</w:t>
      </w:r>
      <w:r>
        <w:t>按照患者ID列表、姓名、出生年月、性别、地址等条件进行查询，从而获得患者详细的注册信息，也可检索出患者其它已匹配信息和相似列表。</w:t>
      </w:r>
      <w:r>
        <w:rPr>
          <w:rFonts w:hint="eastAsia"/>
        </w:rPr>
        <w:t>（提供系统截图证明）</w:t>
      </w:r>
    </w:p>
    <w:p w14:paraId="6B48A0AB">
      <w:pPr>
        <w:pStyle w:val="3"/>
        <w:ind w:firstLine="420"/>
      </w:pPr>
      <w:r>
        <w:rPr>
          <w:rFonts w:hint="eastAsia" w:ascii="Times New Roman" w:hAnsi="Times New Roman"/>
          <w:kern w:val="0"/>
          <w:sz w:val="21"/>
          <w:szCs w:val="21"/>
        </w:rPr>
        <w:t>2、▲支持</w:t>
      </w:r>
      <w:r>
        <w:t>对主索引信息进行数据匹配，根据匹配结果生成主索引号，包括精确匹配、模糊匹配、高相似度匹配、相似匹配。</w:t>
      </w:r>
      <w:r>
        <w:rPr>
          <w:rFonts w:hint="eastAsia"/>
        </w:rPr>
        <w:t>（提供系统截图证明）</w:t>
      </w:r>
    </w:p>
    <w:p w14:paraId="336A02F7">
      <w:pPr>
        <w:pStyle w:val="3"/>
      </w:pPr>
      <w:r>
        <w:rPr>
          <w:rFonts w:hint="eastAsia"/>
        </w:rPr>
        <w:t>3、具</w:t>
      </w:r>
      <w:bookmarkStart w:id="95" w:name="_Toc4453"/>
      <w:bookmarkStart w:id="96" w:name="_Toc24220"/>
      <w:bookmarkStart w:id="97" w:name="_Toc114819399"/>
      <w:r>
        <w:rPr>
          <w:rFonts w:hint="eastAsia"/>
        </w:rPr>
        <w:t>备患者概况总览</w:t>
      </w:r>
      <w:bookmarkEnd w:id="95"/>
      <w:bookmarkEnd w:id="96"/>
      <w:bookmarkEnd w:id="97"/>
      <w:r>
        <w:rPr>
          <w:rFonts w:hint="eastAsia"/>
        </w:rPr>
        <w:t>、</w:t>
      </w:r>
      <w:bookmarkStart w:id="98" w:name="_Toc114819400"/>
      <w:bookmarkStart w:id="99" w:name="_Toc18366"/>
      <w:bookmarkStart w:id="100" w:name="_Toc30578"/>
      <w:r>
        <w:rPr>
          <w:rFonts w:hint="eastAsia"/>
        </w:rPr>
        <w:t>患者信息检索</w:t>
      </w:r>
      <w:bookmarkEnd w:id="98"/>
      <w:bookmarkEnd w:id="99"/>
      <w:bookmarkEnd w:id="100"/>
      <w:r>
        <w:rPr>
          <w:rFonts w:hint="eastAsia"/>
        </w:rPr>
        <w:t>、</w:t>
      </w:r>
      <w:bookmarkStart w:id="101" w:name="_Toc15012"/>
      <w:bookmarkStart w:id="102" w:name="_Toc17805"/>
      <w:bookmarkStart w:id="103" w:name="_Toc114819401"/>
      <w:r>
        <w:rPr>
          <w:rFonts w:hint="eastAsia"/>
        </w:rPr>
        <w:t>交叉索引信息维护</w:t>
      </w:r>
      <w:bookmarkEnd w:id="101"/>
      <w:bookmarkEnd w:id="102"/>
      <w:bookmarkEnd w:id="103"/>
      <w:r>
        <w:rPr>
          <w:rFonts w:hint="eastAsia"/>
        </w:rPr>
        <w:t>、</w:t>
      </w:r>
      <w:bookmarkStart w:id="104" w:name="_Toc8404"/>
      <w:bookmarkStart w:id="105" w:name="_Toc28624"/>
      <w:bookmarkStart w:id="106" w:name="_Toc114819402"/>
      <w:r>
        <w:rPr>
          <w:rFonts w:hint="eastAsia"/>
        </w:rPr>
        <w:t>患者信息算法匹配</w:t>
      </w:r>
      <w:bookmarkEnd w:id="104"/>
      <w:bookmarkEnd w:id="105"/>
      <w:bookmarkEnd w:id="106"/>
      <w:r>
        <w:rPr>
          <w:rFonts w:hint="eastAsia"/>
        </w:rPr>
        <w:t>、</w:t>
      </w:r>
      <w:bookmarkStart w:id="107" w:name="_Toc114819403"/>
      <w:bookmarkStart w:id="108" w:name="_Toc30623"/>
      <w:bookmarkStart w:id="109" w:name="_Toc20454"/>
      <w:r>
        <w:rPr>
          <w:rFonts w:hint="eastAsia"/>
        </w:rPr>
        <w:t>患者信息在线匹配</w:t>
      </w:r>
      <w:bookmarkEnd w:id="107"/>
      <w:bookmarkEnd w:id="108"/>
      <w:bookmarkEnd w:id="109"/>
      <w:r>
        <w:rPr>
          <w:rFonts w:hint="eastAsia"/>
        </w:rPr>
        <w:t>、</w:t>
      </w:r>
      <w:bookmarkStart w:id="110" w:name="_Toc2798"/>
      <w:bookmarkStart w:id="111" w:name="_Toc14190"/>
      <w:bookmarkStart w:id="112" w:name="_Toc114819404"/>
      <w:r>
        <w:rPr>
          <w:rFonts w:hint="eastAsia"/>
        </w:rPr>
        <w:t>信息离线辅助调整</w:t>
      </w:r>
      <w:bookmarkEnd w:id="110"/>
      <w:bookmarkEnd w:id="111"/>
      <w:bookmarkEnd w:id="112"/>
      <w:r>
        <w:rPr>
          <w:rFonts w:hint="eastAsia"/>
        </w:rPr>
        <w:t>、</w:t>
      </w:r>
      <w:bookmarkStart w:id="113" w:name="_Toc19133"/>
      <w:bookmarkStart w:id="114" w:name="_Toc114819405"/>
      <w:bookmarkStart w:id="115" w:name="_Toc8268"/>
      <w:r>
        <w:rPr>
          <w:rFonts w:hint="eastAsia"/>
        </w:rPr>
        <w:t>患者信息脱敏</w:t>
      </w:r>
      <w:bookmarkEnd w:id="113"/>
      <w:r>
        <w:rPr>
          <w:rFonts w:hint="eastAsia"/>
        </w:rPr>
        <w:t>维护</w:t>
      </w:r>
      <w:bookmarkEnd w:id="114"/>
      <w:bookmarkEnd w:id="115"/>
    </w:p>
    <w:p w14:paraId="237D5816">
      <w:pPr>
        <w:pStyle w:val="5"/>
        <w:numPr>
          <w:ilvl w:val="2"/>
          <w:numId w:val="16"/>
        </w:numPr>
        <w:rPr>
          <w:rFonts w:asciiTheme="minorEastAsia" w:hAnsiTheme="minorEastAsia" w:eastAsiaTheme="minorEastAsia"/>
        </w:rPr>
      </w:pPr>
      <w:bookmarkStart w:id="116" w:name="_Toc202539067"/>
      <w:r>
        <w:rPr>
          <w:rFonts w:hint="eastAsia" w:asciiTheme="minorEastAsia" w:hAnsiTheme="minorEastAsia" w:eastAsiaTheme="minorEastAsia"/>
        </w:rPr>
        <w:t>基础服务平台</w:t>
      </w:r>
      <w:bookmarkEnd w:id="11"/>
      <w:bookmarkEnd w:id="12"/>
      <w:bookmarkEnd w:id="116"/>
    </w:p>
    <w:p w14:paraId="5DE6A08F">
      <w:pPr>
        <w:pStyle w:val="6"/>
        <w:numPr>
          <w:ilvl w:val="3"/>
          <w:numId w:val="16"/>
        </w:numPr>
        <w:rPr>
          <w:rFonts w:asciiTheme="minorEastAsia" w:hAnsiTheme="minorEastAsia" w:eastAsiaTheme="minorEastAsia"/>
        </w:rPr>
      </w:pPr>
      <w:r>
        <w:rPr>
          <w:rFonts w:asciiTheme="minorEastAsia" w:hAnsiTheme="minorEastAsia" w:eastAsiaTheme="minorEastAsia"/>
        </w:rPr>
        <w:t>平台概况</w:t>
      </w:r>
      <w:bookmarkEnd w:id="13"/>
    </w:p>
    <w:p w14:paraId="27BCA5EC">
      <w:pPr>
        <w:pStyle w:val="106"/>
        <w:spacing w:before="156" w:after="156"/>
        <w:ind w:firstLine="480"/>
        <w:rPr>
          <w:rFonts w:asciiTheme="minorEastAsia" w:hAnsiTheme="minorEastAsia"/>
        </w:rPr>
      </w:pPr>
      <w:r>
        <w:rPr>
          <w:rFonts w:hint="eastAsia" w:asciiTheme="minorEastAsia" w:hAnsiTheme="minorEastAsia"/>
        </w:rPr>
        <w:t>1、支持展现平台接入的汇总以及平台应用群集的运行情况。平台的接入汇总以群星汇集中心的动画效果生动形象的描述了平台的接入情况，平台应用群集方便运维人员对医共体基础服务平台的运行状态有所了解。具体包括</w:t>
      </w:r>
      <w:r>
        <w:rPr>
          <w:rFonts w:asciiTheme="minorEastAsia" w:hAnsiTheme="minorEastAsia"/>
        </w:rPr>
        <w:t>接入情况汇总</w:t>
      </w:r>
      <w:r>
        <w:rPr>
          <w:rFonts w:hint="eastAsia" w:asciiTheme="minorEastAsia" w:hAnsiTheme="minorEastAsia"/>
        </w:rPr>
        <w:t>、</w:t>
      </w:r>
      <w:r>
        <w:rPr>
          <w:rFonts w:asciiTheme="minorEastAsia" w:hAnsiTheme="minorEastAsia"/>
        </w:rPr>
        <w:t>应用群集状态</w:t>
      </w:r>
    </w:p>
    <w:p w14:paraId="7B977FD7">
      <w:pPr>
        <w:pStyle w:val="6"/>
        <w:numPr>
          <w:ilvl w:val="3"/>
          <w:numId w:val="16"/>
        </w:numPr>
        <w:rPr>
          <w:rFonts w:asciiTheme="minorEastAsia" w:hAnsiTheme="minorEastAsia" w:eastAsiaTheme="minorEastAsia"/>
        </w:rPr>
      </w:pPr>
      <w:bookmarkStart w:id="117" w:name="_Toc123738088"/>
      <w:r>
        <w:rPr>
          <w:rFonts w:asciiTheme="minorEastAsia" w:hAnsiTheme="minorEastAsia" w:eastAsiaTheme="minorEastAsia"/>
        </w:rPr>
        <w:t>集成信息管理</w:t>
      </w:r>
      <w:bookmarkEnd w:id="117"/>
    </w:p>
    <w:p w14:paraId="3C1D2554">
      <w:pPr>
        <w:pStyle w:val="106"/>
        <w:spacing w:before="156" w:after="156"/>
        <w:ind w:firstLine="480"/>
        <w:rPr>
          <w:rFonts w:asciiTheme="minorEastAsia" w:hAnsiTheme="minorEastAsia"/>
        </w:rPr>
      </w:pPr>
      <w:r>
        <w:rPr>
          <w:rFonts w:hint="eastAsia" w:asciiTheme="minorEastAsia" w:hAnsiTheme="minorEastAsia"/>
        </w:rPr>
        <w:t>1、支持对接入平台的厂商以及对应的系统进行管理包含新增、启用、停用和凭证的管理。另一个模块支持查看每个厂商接入的系统，以及每个系统详细的服务调用情况概览。具体包括厂商信息管理、</w:t>
      </w:r>
      <w:r>
        <w:rPr>
          <w:rFonts w:asciiTheme="minorEastAsia" w:hAnsiTheme="minorEastAsia"/>
        </w:rPr>
        <w:t>系统授权管理</w:t>
      </w:r>
    </w:p>
    <w:p w14:paraId="2F19F3A1">
      <w:pPr>
        <w:pStyle w:val="6"/>
        <w:numPr>
          <w:ilvl w:val="3"/>
          <w:numId w:val="16"/>
        </w:numPr>
        <w:rPr>
          <w:rFonts w:asciiTheme="minorEastAsia" w:hAnsiTheme="minorEastAsia" w:eastAsiaTheme="minorEastAsia"/>
        </w:rPr>
      </w:pPr>
      <w:bookmarkStart w:id="118" w:name="_Toc123738089"/>
      <w:r>
        <w:rPr>
          <w:rFonts w:asciiTheme="minorEastAsia" w:hAnsiTheme="minorEastAsia" w:eastAsiaTheme="minorEastAsia"/>
        </w:rPr>
        <w:t>服务信息管理</w:t>
      </w:r>
      <w:bookmarkEnd w:id="118"/>
    </w:p>
    <w:p w14:paraId="6D5697C1">
      <w:pPr>
        <w:ind w:firstLine="480" w:firstLineChars="200"/>
        <w:rPr>
          <w:rFonts w:asciiTheme="minorEastAsia" w:hAnsiTheme="minorEastAsia" w:eastAsiaTheme="minorEastAsia"/>
        </w:rPr>
      </w:pPr>
      <w:r>
        <w:rPr>
          <w:rFonts w:asciiTheme="minorEastAsia" w:hAnsiTheme="minorEastAsia" w:eastAsiaTheme="minorEastAsia"/>
        </w:rPr>
        <w:t>1、支持</w:t>
      </w:r>
      <w:r>
        <w:rPr>
          <w:rFonts w:hint="eastAsia" w:asciiTheme="minorEastAsia" w:hAnsiTheme="minorEastAsia" w:eastAsiaTheme="minorEastAsia"/>
        </w:rPr>
        <w:t>服务注册和服务定义管理，服务注册管理各系统的的服务地址，服务定义用来对服务的类型和服务进行新增、编辑、删除操作。具体包括</w:t>
      </w:r>
      <w:r>
        <w:rPr>
          <w:rFonts w:asciiTheme="minorEastAsia" w:hAnsiTheme="minorEastAsia" w:eastAsiaTheme="minorEastAsia"/>
        </w:rPr>
        <w:t>服务注册管理</w:t>
      </w:r>
      <w:r>
        <w:rPr>
          <w:rFonts w:hint="eastAsia" w:asciiTheme="minorEastAsia" w:hAnsiTheme="minorEastAsia" w:eastAsiaTheme="minorEastAsia"/>
        </w:rPr>
        <w:t>、</w:t>
      </w:r>
      <w:r>
        <w:rPr>
          <w:rFonts w:asciiTheme="minorEastAsia" w:hAnsiTheme="minorEastAsia" w:eastAsiaTheme="minorEastAsia"/>
        </w:rPr>
        <w:t>服务定义管理</w:t>
      </w:r>
    </w:p>
    <w:p w14:paraId="516B5B6E">
      <w:pPr>
        <w:pStyle w:val="6"/>
        <w:numPr>
          <w:ilvl w:val="3"/>
          <w:numId w:val="16"/>
        </w:numPr>
        <w:rPr>
          <w:rFonts w:asciiTheme="minorEastAsia" w:hAnsiTheme="minorEastAsia" w:eastAsiaTheme="minorEastAsia"/>
        </w:rPr>
      </w:pPr>
      <w:bookmarkStart w:id="119" w:name="_Toc123738090"/>
      <w:r>
        <w:rPr>
          <w:rFonts w:asciiTheme="minorEastAsia" w:hAnsiTheme="minorEastAsia" w:eastAsiaTheme="minorEastAsia"/>
        </w:rPr>
        <w:t>交互配置管理</w:t>
      </w:r>
      <w:bookmarkEnd w:id="119"/>
    </w:p>
    <w:p w14:paraId="5F001F6B">
      <w:pPr>
        <w:ind w:firstLine="480" w:firstLineChars="200"/>
        <w:rPr>
          <w:rFonts w:asciiTheme="minorEastAsia" w:hAnsiTheme="minorEastAsia" w:eastAsiaTheme="minorEastAsia"/>
        </w:rPr>
      </w:pPr>
      <w:r>
        <w:rPr>
          <w:rFonts w:asciiTheme="minorEastAsia" w:hAnsiTheme="minorEastAsia" w:eastAsiaTheme="minorEastAsia"/>
        </w:rPr>
        <w:t>1、</w:t>
      </w:r>
      <w:r>
        <w:rPr>
          <w:rFonts w:hint="eastAsia" w:asciiTheme="minorEastAsia" w:hAnsiTheme="minorEastAsia" w:eastAsiaTheme="minorEastAsia"/>
        </w:rPr>
        <w:t>支持包括服务管理、服务授权、服务分发、服务订阅四个模块。通过流程化的配置可以让操作人员直观的进行一个服务的完整流程配置，减轻页面来回切换加载的时间，提高服务管理的效率。具体包括</w:t>
      </w:r>
      <w:r>
        <w:rPr>
          <w:rFonts w:asciiTheme="minorEastAsia" w:hAnsiTheme="minorEastAsia" w:eastAsiaTheme="minorEastAsia"/>
        </w:rPr>
        <w:t>服务管理</w:t>
      </w:r>
      <w:r>
        <w:rPr>
          <w:rFonts w:hint="eastAsia" w:asciiTheme="minorEastAsia" w:hAnsiTheme="minorEastAsia" w:eastAsiaTheme="minorEastAsia"/>
        </w:rPr>
        <w:t>、</w:t>
      </w:r>
      <w:r>
        <w:rPr>
          <w:rFonts w:asciiTheme="minorEastAsia" w:hAnsiTheme="minorEastAsia" w:eastAsiaTheme="minorEastAsia"/>
        </w:rPr>
        <w:t>服务授权</w:t>
      </w:r>
      <w:r>
        <w:rPr>
          <w:rFonts w:hint="eastAsia" w:asciiTheme="minorEastAsia" w:hAnsiTheme="minorEastAsia" w:eastAsiaTheme="minorEastAsia"/>
        </w:rPr>
        <w:t>、</w:t>
      </w:r>
      <w:r>
        <w:rPr>
          <w:rFonts w:asciiTheme="minorEastAsia" w:hAnsiTheme="minorEastAsia" w:eastAsiaTheme="minorEastAsia"/>
        </w:rPr>
        <w:t>服务分发</w:t>
      </w:r>
      <w:r>
        <w:rPr>
          <w:rFonts w:hint="eastAsia" w:asciiTheme="minorEastAsia" w:hAnsiTheme="minorEastAsia" w:eastAsiaTheme="minorEastAsia"/>
        </w:rPr>
        <w:t>、</w:t>
      </w:r>
      <w:r>
        <w:rPr>
          <w:rFonts w:asciiTheme="minorEastAsia" w:hAnsiTheme="minorEastAsia" w:eastAsiaTheme="minorEastAsia"/>
        </w:rPr>
        <w:t>服务订阅</w:t>
      </w:r>
    </w:p>
    <w:p w14:paraId="379EF091">
      <w:pPr>
        <w:pStyle w:val="6"/>
        <w:numPr>
          <w:ilvl w:val="3"/>
          <w:numId w:val="16"/>
        </w:numPr>
        <w:rPr>
          <w:rFonts w:asciiTheme="minorEastAsia" w:hAnsiTheme="minorEastAsia" w:eastAsiaTheme="minorEastAsia"/>
        </w:rPr>
      </w:pPr>
      <w:bookmarkStart w:id="120" w:name="_Toc123738091"/>
      <w:r>
        <w:rPr>
          <w:rFonts w:asciiTheme="minorEastAsia" w:hAnsiTheme="minorEastAsia" w:eastAsiaTheme="minorEastAsia"/>
        </w:rPr>
        <w:t>访问控制管理</w:t>
      </w:r>
      <w:bookmarkEnd w:id="120"/>
    </w:p>
    <w:p w14:paraId="057BD9BB">
      <w:pPr>
        <w:ind w:firstLine="480" w:firstLineChars="200"/>
        <w:rPr>
          <w:rFonts w:asciiTheme="minorEastAsia" w:hAnsiTheme="minorEastAsia" w:eastAsiaTheme="minorEastAsia"/>
        </w:rPr>
      </w:pPr>
      <w:r>
        <w:rPr>
          <w:rFonts w:asciiTheme="minorEastAsia" w:hAnsiTheme="minorEastAsia" w:eastAsiaTheme="minorEastAsia"/>
        </w:rPr>
        <w:t>1、</w:t>
      </w:r>
      <w:r>
        <w:rPr>
          <w:rFonts w:hint="eastAsia" w:asciiTheme="minorEastAsia" w:hAnsiTheme="minorEastAsia" w:eastAsiaTheme="minorEastAsia"/>
        </w:rPr>
        <w:t>支持提供流量控制及黑名单管理功能，对接入医院信息服务开放平台的系统和服务进行颗粒化的控制管理。基于业务逻辑分析及历史调用行为分析，配置针对各业务系统各服务的流量管控规则，从服务调用次数、服务调用数据量大小、服务调用时间段等多维度对服务进行安全性管理。当发现异常调用行为时可以自动将调用系统加入流量管控范围或者是手动加入黑名单。通过流量控制和黑名单管理功能能够讲第三方异常的调用进行隔离和阻断，进一步提供医共体基础服务平台运行的稳定性。具体包括</w:t>
      </w:r>
      <w:r>
        <w:rPr>
          <w:rFonts w:asciiTheme="minorEastAsia" w:hAnsiTheme="minorEastAsia" w:eastAsiaTheme="minorEastAsia"/>
        </w:rPr>
        <w:t>流量控制配置</w:t>
      </w:r>
      <w:r>
        <w:rPr>
          <w:rFonts w:hint="eastAsia" w:asciiTheme="minorEastAsia" w:hAnsiTheme="minorEastAsia" w:eastAsiaTheme="minorEastAsia"/>
        </w:rPr>
        <w:t>、</w:t>
      </w:r>
      <w:r>
        <w:rPr>
          <w:rFonts w:asciiTheme="minorEastAsia" w:hAnsiTheme="minorEastAsia" w:eastAsiaTheme="minorEastAsia"/>
        </w:rPr>
        <w:t>流量控制记录</w:t>
      </w:r>
      <w:r>
        <w:rPr>
          <w:rFonts w:hint="eastAsia" w:asciiTheme="minorEastAsia" w:hAnsiTheme="minorEastAsia" w:eastAsiaTheme="minorEastAsia"/>
        </w:rPr>
        <w:t>、</w:t>
      </w:r>
      <w:r>
        <w:rPr>
          <w:rFonts w:asciiTheme="minorEastAsia" w:hAnsiTheme="minorEastAsia" w:eastAsiaTheme="minorEastAsia"/>
        </w:rPr>
        <w:t>黑名单管理</w:t>
      </w:r>
    </w:p>
    <w:p w14:paraId="1CE9CF0A">
      <w:pPr>
        <w:pStyle w:val="6"/>
        <w:numPr>
          <w:ilvl w:val="3"/>
          <w:numId w:val="16"/>
        </w:numPr>
        <w:rPr>
          <w:rFonts w:asciiTheme="minorEastAsia" w:hAnsiTheme="minorEastAsia" w:eastAsiaTheme="minorEastAsia"/>
        </w:rPr>
      </w:pPr>
      <w:bookmarkStart w:id="121" w:name="_Toc123738092"/>
      <w:r>
        <w:rPr>
          <w:rFonts w:asciiTheme="minorEastAsia" w:hAnsiTheme="minorEastAsia" w:eastAsiaTheme="minorEastAsia"/>
        </w:rPr>
        <w:t>日志信息监管</w:t>
      </w:r>
      <w:bookmarkEnd w:id="121"/>
    </w:p>
    <w:p w14:paraId="5C84CC80">
      <w:pPr>
        <w:pStyle w:val="106"/>
        <w:spacing w:before="156" w:after="156"/>
        <w:ind w:firstLine="480"/>
        <w:rPr>
          <w:rFonts w:asciiTheme="minorEastAsia" w:hAnsiTheme="minorEastAsia"/>
        </w:rPr>
      </w:pPr>
      <w:r>
        <w:rPr>
          <w:rFonts w:asciiTheme="minorEastAsia" w:hAnsiTheme="minorEastAsia"/>
        </w:rPr>
        <w:t>1、</w:t>
      </w:r>
      <w:r>
        <w:rPr>
          <w:rFonts w:hint="eastAsia" w:asciiTheme="minorEastAsia" w:hAnsiTheme="minorEastAsia"/>
        </w:rPr>
        <w:t>支持日志记录检索、消息重发池、后台操作日志。日志记录检索对于对接入服务开放平台的系统进行统一的日志管理，详细记录每个服务的性能消耗、服务消费方、服务调用次数、服务入出参等信息。提供可视化的日志查询及统计功能，能够协助运维人员快速了解整体服务运行情况、快速定位性能瓶颈及问题点。消息重发池对于订阅的消息进行失败自动重发也可以手动重发，具体的失败重发次数由系统操作配置，通过订阅消息的失败重发减少由于网络硬件问题导致的消息失败，提供消息的成功率。后台操作日志记录在医共体基础服务平台上的所有操作，对需要记录用户的关键操作日志</w:t>
      </w:r>
      <w:r>
        <w:rPr>
          <w:rFonts w:asciiTheme="minorEastAsia" w:hAnsiTheme="minorEastAsia"/>
        </w:rPr>
        <w:t>,以便后期的系统维护,方便的查看问题,及时排除等原因。</w:t>
      </w:r>
      <w:r>
        <w:rPr>
          <w:rFonts w:hint="eastAsia" w:asciiTheme="minorEastAsia" w:hAnsiTheme="minorEastAsia"/>
        </w:rPr>
        <w:t>具体包括</w:t>
      </w:r>
      <w:r>
        <w:rPr>
          <w:rFonts w:asciiTheme="minorEastAsia" w:hAnsiTheme="minorEastAsia"/>
        </w:rPr>
        <w:t>日志记录检索</w:t>
      </w:r>
      <w:r>
        <w:rPr>
          <w:rFonts w:hint="eastAsia" w:asciiTheme="minorEastAsia" w:hAnsiTheme="minorEastAsia"/>
        </w:rPr>
        <w:t>、</w:t>
      </w:r>
      <w:r>
        <w:rPr>
          <w:rFonts w:asciiTheme="minorEastAsia" w:hAnsiTheme="minorEastAsia"/>
        </w:rPr>
        <w:t>消息重发池</w:t>
      </w:r>
      <w:r>
        <w:rPr>
          <w:rFonts w:hint="eastAsia" w:asciiTheme="minorEastAsia" w:hAnsiTheme="minorEastAsia"/>
        </w:rPr>
        <w:t>、</w:t>
      </w:r>
      <w:r>
        <w:rPr>
          <w:rFonts w:asciiTheme="minorEastAsia" w:hAnsiTheme="minorEastAsia"/>
        </w:rPr>
        <w:t>后台操作日志</w:t>
      </w:r>
    </w:p>
    <w:p w14:paraId="5142AF9E">
      <w:pPr>
        <w:pStyle w:val="6"/>
        <w:numPr>
          <w:ilvl w:val="3"/>
          <w:numId w:val="16"/>
        </w:numPr>
        <w:rPr>
          <w:rFonts w:asciiTheme="minorEastAsia" w:hAnsiTheme="minorEastAsia" w:eastAsiaTheme="minorEastAsia"/>
        </w:rPr>
      </w:pPr>
      <w:bookmarkStart w:id="122" w:name="_Toc123738093"/>
      <w:r>
        <w:rPr>
          <w:rFonts w:asciiTheme="minorEastAsia" w:hAnsiTheme="minorEastAsia" w:eastAsiaTheme="minorEastAsia"/>
        </w:rPr>
        <w:t>系统参数配置</w:t>
      </w:r>
      <w:bookmarkEnd w:id="122"/>
    </w:p>
    <w:p w14:paraId="2A9C4E91">
      <w:pPr>
        <w:ind w:firstLine="480" w:firstLineChars="200"/>
        <w:rPr>
          <w:rFonts w:asciiTheme="minorEastAsia" w:hAnsiTheme="minorEastAsia" w:eastAsiaTheme="minorEastAsia"/>
        </w:rPr>
      </w:pPr>
      <w:r>
        <w:rPr>
          <w:rFonts w:asciiTheme="minorEastAsia" w:hAnsiTheme="minorEastAsia" w:eastAsiaTheme="minorEastAsia"/>
        </w:rPr>
        <w:t>1、</w:t>
      </w:r>
      <w:r>
        <w:rPr>
          <w:rFonts w:hint="eastAsia" w:asciiTheme="minorEastAsia" w:hAnsiTheme="minorEastAsia" w:eastAsiaTheme="minorEastAsia"/>
        </w:rPr>
        <w:t>支持对医共体基础服务平台运行的参数设置，涉及到上面提到过的消息错误重复次数等一些运行参数，系统运行的参数以后台管理的方式进行展示，方便管理员对系统参数的修改。</w:t>
      </w:r>
    </w:p>
    <w:p w14:paraId="421AFF3B">
      <w:pPr>
        <w:pStyle w:val="5"/>
        <w:numPr>
          <w:ilvl w:val="2"/>
          <w:numId w:val="16"/>
        </w:numPr>
      </w:pPr>
      <w:bookmarkStart w:id="123" w:name="_Toc198048602"/>
      <w:bookmarkStart w:id="124" w:name="_Toc202539068"/>
      <w:bookmarkStart w:id="125" w:name="_Toc131287359"/>
      <w:bookmarkStart w:id="126" w:name="_Toc131066798"/>
      <w:r>
        <w:rPr>
          <w:rFonts w:hint="eastAsia"/>
        </w:rPr>
        <w:t>统一运维平台</w:t>
      </w:r>
      <w:bookmarkEnd w:id="123"/>
      <w:bookmarkEnd w:id="124"/>
    </w:p>
    <w:p w14:paraId="0FFF31B2">
      <w:pPr>
        <w:pStyle w:val="6"/>
        <w:numPr>
          <w:ilvl w:val="3"/>
          <w:numId w:val="16"/>
        </w:numPr>
      </w:pPr>
      <w:bookmarkStart w:id="127" w:name="_Toc165039747"/>
      <w:bookmarkStart w:id="128" w:name="_Toc123812191"/>
      <w:r>
        <w:rPr>
          <w:rFonts w:hint="eastAsia"/>
        </w:rPr>
        <w:t>基础运维管理</w:t>
      </w:r>
      <w:bookmarkEnd w:id="127"/>
    </w:p>
    <w:p w14:paraId="60CAFA5F">
      <w:pPr>
        <w:pStyle w:val="7"/>
        <w:numPr>
          <w:ilvl w:val="4"/>
          <w:numId w:val="16"/>
        </w:numPr>
      </w:pPr>
      <w:bookmarkStart w:id="129" w:name="_Toc165039748"/>
      <w:r>
        <w:rPr>
          <w:rFonts w:hint="eastAsia"/>
        </w:rPr>
        <w:t>系统管理</w:t>
      </w:r>
      <w:bookmarkEnd w:id="128"/>
      <w:r>
        <w:rPr>
          <w:rFonts w:hint="eastAsia"/>
        </w:rPr>
        <w:t>功能</w:t>
      </w:r>
      <w:bookmarkEnd w:id="129"/>
    </w:p>
    <w:p w14:paraId="22F0B9AF">
      <w:pPr>
        <w:pStyle w:val="8"/>
        <w:numPr>
          <w:ilvl w:val="5"/>
          <w:numId w:val="16"/>
        </w:numPr>
        <w:rPr>
          <w:rFonts w:ascii="宋体" w:hAnsi="宋体" w:eastAsia="宋体"/>
        </w:rPr>
      </w:pPr>
      <w:bookmarkStart w:id="130" w:name="_Toc123812192"/>
      <w:r>
        <w:rPr>
          <w:rFonts w:hint="eastAsia" w:ascii="宋体" w:hAnsi="宋体" w:eastAsia="宋体"/>
        </w:rPr>
        <w:t>用户管理</w:t>
      </w:r>
      <w:bookmarkEnd w:id="130"/>
    </w:p>
    <w:p w14:paraId="1AF3C094">
      <w:pPr>
        <w:ind w:firstLine="420"/>
        <w:rPr>
          <w:szCs w:val="21"/>
        </w:rPr>
      </w:pPr>
      <w:r>
        <w:rPr>
          <w:szCs w:val="21"/>
        </w:rPr>
        <w:t>1、</w:t>
      </w:r>
      <w:r>
        <w:rPr>
          <w:rFonts w:hint="eastAsia"/>
          <w:szCs w:val="21"/>
        </w:rPr>
        <w:t>支持设定不同用户的账号以及密码，用于登录运维平台。在用户权限上选择产品和角色的划分。用超级管理员账号，对用户进行新增、编辑、删除、能等操作。</w:t>
      </w:r>
    </w:p>
    <w:p w14:paraId="658FDEA9">
      <w:pPr>
        <w:pStyle w:val="8"/>
        <w:numPr>
          <w:ilvl w:val="5"/>
          <w:numId w:val="16"/>
        </w:numPr>
        <w:rPr>
          <w:rFonts w:ascii="宋体" w:hAnsi="宋体" w:eastAsia="宋体"/>
        </w:rPr>
      </w:pPr>
      <w:bookmarkStart w:id="131" w:name="_Toc120201536"/>
      <w:bookmarkStart w:id="132" w:name="_Toc103594671"/>
      <w:bookmarkStart w:id="133" w:name="_Toc123812193"/>
      <w:bookmarkStart w:id="134" w:name="_Toc98942155"/>
      <w:r>
        <w:rPr>
          <w:rFonts w:hint="eastAsia" w:ascii="宋体" w:hAnsi="宋体" w:eastAsia="宋体"/>
        </w:rPr>
        <w:t>角色菜单</w:t>
      </w:r>
      <w:bookmarkEnd w:id="131"/>
      <w:bookmarkEnd w:id="132"/>
      <w:bookmarkEnd w:id="133"/>
      <w:bookmarkEnd w:id="134"/>
    </w:p>
    <w:p w14:paraId="1550CFB6">
      <w:pPr>
        <w:ind w:firstLine="240" w:firstLineChars="100"/>
      </w:pPr>
      <w:r>
        <w:rPr>
          <w:rFonts w:asciiTheme="minorEastAsia" w:hAnsiTheme="minorEastAsia" w:eastAsiaTheme="minorEastAsia"/>
        </w:rPr>
        <w:t>1、</w:t>
      </w:r>
      <w:r>
        <w:rPr>
          <w:rFonts w:hint="eastAsia" w:asciiTheme="minorEastAsia" w:hAnsiTheme="minorEastAsia" w:eastAsiaTheme="minorEastAsia"/>
        </w:rPr>
        <w:t>支持</w:t>
      </w:r>
      <w:r>
        <w:rPr>
          <w:rFonts w:hint="eastAsia"/>
        </w:rPr>
        <w:t>具体角色功能权限的分配，比如：系统管理员、运维人员、日志分析员、客户管理员等角色权限的划分，并支持对角色进行用户分配等联动性操作。</w:t>
      </w:r>
    </w:p>
    <w:p w14:paraId="17B2C13D">
      <w:pPr>
        <w:pStyle w:val="8"/>
        <w:numPr>
          <w:ilvl w:val="5"/>
          <w:numId w:val="16"/>
        </w:numPr>
        <w:rPr>
          <w:rFonts w:ascii="宋体" w:hAnsi="宋体" w:eastAsia="宋体"/>
        </w:rPr>
      </w:pPr>
      <w:bookmarkStart w:id="135" w:name="_Toc123812194"/>
      <w:bookmarkStart w:id="136" w:name="_Toc120201537"/>
      <w:bookmarkStart w:id="137" w:name="_Toc98942156"/>
      <w:bookmarkStart w:id="138" w:name="_Toc103594672"/>
      <w:r>
        <w:rPr>
          <w:rFonts w:hint="eastAsia" w:ascii="宋体" w:hAnsi="宋体" w:eastAsia="宋体"/>
        </w:rPr>
        <w:t>系统参数</w:t>
      </w:r>
      <w:bookmarkEnd w:id="135"/>
      <w:bookmarkEnd w:id="136"/>
      <w:bookmarkEnd w:id="137"/>
      <w:bookmarkEnd w:id="138"/>
    </w:p>
    <w:p w14:paraId="482DD7AB">
      <w:pPr>
        <w:ind w:firstLine="420"/>
        <w:rPr>
          <w:szCs w:val="21"/>
        </w:rPr>
      </w:pPr>
      <w:r>
        <w:rPr>
          <w:rFonts w:asciiTheme="minorEastAsia" w:hAnsiTheme="minorEastAsia" w:eastAsiaTheme="minorEastAsia"/>
        </w:rPr>
        <w:t>1、</w:t>
      </w:r>
      <w:r>
        <w:rPr>
          <w:rFonts w:hint="eastAsia" w:asciiTheme="minorEastAsia" w:hAnsiTheme="minorEastAsia" w:eastAsiaTheme="minorEastAsia"/>
        </w:rPr>
        <w:t>支持</w:t>
      </w:r>
      <w:r>
        <w:rPr>
          <w:rFonts w:hint="eastAsia"/>
        </w:rPr>
        <w:t>用于配置平台所需的参数信息，参数代码与对应的参数名称匹配，使参数代码更直观的转换成容易理解的参数名称，并跟进实际情况设置好对应的参数值。</w:t>
      </w:r>
      <w:r>
        <w:rPr>
          <w:szCs w:val="21"/>
        </w:rPr>
        <w:t xml:space="preserve"> </w:t>
      </w:r>
    </w:p>
    <w:p w14:paraId="7D117634">
      <w:pPr>
        <w:pStyle w:val="8"/>
        <w:numPr>
          <w:ilvl w:val="5"/>
          <w:numId w:val="16"/>
        </w:numPr>
        <w:rPr>
          <w:rFonts w:ascii="宋体" w:hAnsi="宋体" w:eastAsia="宋体"/>
        </w:rPr>
      </w:pPr>
      <w:bookmarkStart w:id="139" w:name="_Toc120201538"/>
      <w:bookmarkStart w:id="140" w:name="_Toc123812195"/>
      <w:bookmarkStart w:id="141" w:name="_Toc98942158"/>
      <w:bookmarkStart w:id="142" w:name="_Toc103594674"/>
      <w:bookmarkStart w:id="143" w:name="_Toc98942159"/>
      <w:r>
        <w:rPr>
          <w:rFonts w:hint="eastAsia" w:ascii="宋体" w:hAnsi="宋体" w:eastAsia="宋体"/>
        </w:rPr>
        <w:t>通用字典</w:t>
      </w:r>
      <w:bookmarkEnd w:id="139"/>
      <w:bookmarkEnd w:id="140"/>
      <w:bookmarkEnd w:id="141"/>
      <w:bookmarkEnd w:id="142"/>
    </w:p>
    <w:p w14:paraId="1F3A1DF8">
      <w:pPr>
        <w:pStyle w:val="3"/>
      </w:pPr>
      <w:r>
        <w:rPr>
          <w:rFonts w:asciiTheme="minorEastAsia" w:hAnsiTheme="minorEastAsia" w:eastAsiaTheme="minorEastAsia"/>
        </w:rPr>
        <w:t>1、</w:t>
      </w:r>
      <w:r>
        <w:rPr>
          <w:rFonts w:hint="eastAsia" w:asciiTheme="minorEastAsia" w:hAnsiTheme="minorEastAsia" w:eastAsiaTheme="minorEastAsia"/>
        </w:rPr>
        <w:t>支持</w:t>
      </w:r>
      <w:r>
        <w:rPr>
          <w:rFonts w:hint="eastAsia"/>
        </w:rPr>
        <w:t>对数据的数据项、数据结构、数据流、数据存储、处理逻辑、外部实体等进行定义和描述，其目的是对运维流程中的各个元素作出详细的说明。方便运维人员对大量使用的数据，进行统一的数据字典管理。</w:t>
      </w:r>
      <w:bookmarkEnd w:id="143"/>
    </w:p>
    <w:p w14:paraId="6F9B3EBD">
      <w:pPr>
        <w:pStyle w:val="8"/>
        <w:numPr>
          <w:ilvl w:val="5"/>
          <w:numId w:val="16"/>
        </w:numPr>
        <w:rPr>
          <w:rFonts w:ascii="宋体" w:hAnsi="宋体" w:eastAsia="宋体"/>
        </w:rPr>
      </w:pPr>
      <w:bookmarkStart w:id="144" w:name="_Toc123812196"/>
      <w:bookmarkStart w:id="145" w:name="_Toc120201539"/>
      <w:r>
        <w:rPr>
          <w:rFonts w:hint="eastAsia" w:ascii="宋体" w:hAnsi="宋体" w:eastAsia="宋体"/>
        </w:rPr>
        <w:t>定时器管理</w:t>
      </w:r>
      <w:bookmarkEnd w:id="144"/>
      <w:bookmarkEnd w:id="145"/>
    </w:p>
    <w:p w14:paraId="49B9B849">
      <w:pPr>
        <w:pStyle w:val="3"/>
      </w:pPr>
      <w:r>
        <w:t>1、支持</w:t>
      </w:r>
      <w:r>
        <w:rPr>
          <w:rFonts w:hint="eastAsia"/>
        </w:rPr>
        <w:t>针对不同的告警事件和不同的告警类别，进行不同时间频率的触发。</w:t>
      </w:r>
    </w:p>
    <w:p w14:paraId="3622C017">
      <w:pPr>
        <w:pStyle w:val="3"/>
      </w:pPr>
      <w:r>
        <w:t>2、</w:t>
      </w:r>
      <w:r>
        <w:rPr>
          <w:rFonts w:hint="eastAsia"/>
        </w:rPr>
        <w:t>支持对实际触发情况采取对应的管理和调整。</w:t>
      </w:r>
    </w:p>
    <w:p w14:paraId="668BAED6">
      <w:pPr>
        <w:pStyle w:val="8"/>
        <w:numPr>
          <w:ilvl w:val="5"/>
          <w:numId w:val="16"/>
        </w:numPr>
        <w:rPr>
          <w:rFonts w:ascii="宋体" w:hAnsi="宋体" w:eastAsia="宋体"/>
        </w:rPr>
      </w:pPr>
      <w:bookmarkStart w:id="146" w:name="_Toc123812197"/>
      <w:r>
        <w:rPr>
          <w:rFonts w:hint="eastAsia" w:ascii="宋体" w:hAnsi="宋体" w:eastAsia="宋体"/>
        </w:rPr>
        <w:t>产品管理列表</w:t>
      </w:r>
      <w:bookmarkEnd w:id="146"/>
    </w:p>
    <w:p w14:paraId="26C4B1A5">
      <w:pPr>
        <w:ind w:firstLine="480"/>
      </w:pPr>
      <w:r>
        <w:rPr>
          <w:rFonts w:asciiTheme="minorEastAsia" w:hAnsiTheme="minorEastAsia" w:eastAsiaTheme="minorEastAsia"/>
        </w:rPr>
        <w:t>1、</w:t>
      </w:r>
      <w:r>
        <w:rPr>
          <w:rFonts w:hint="eastAsia" w:asciiTheme="minorEastAsia" w:hAnsiTheme="minorEastAsia" w:eastAsiaTheme="minorEastAsia"/>
        </w:rPr>
        <w:t>支持</w:t>
      </w:r>
      <w:r>
        <w:rPr>
          <w:rFonts w:hint="eastAsia"/>
        </w:rPr>
        <w:t>对接入运维平台的产品进行分类，并对应产品分类下的应用，关联对应的运维监控项目，为后续的告警内容作为一部分的数据基础。</w:t>
      </w:r>
    </w:p>
    <w:p w14:paraId="6759334E">
      <w:pPr>
        <w:pStyle w:val="7"/>
        <w:numPr>
          <w:ilvl w:val="4"/>
          <w:numId w:val="16"/>
        </w:numPr>
      </w:pPr>
      <w:bookmarkStart w:id="147" w:name="_Toc123812198"/>
      <w:bookmarkStart w:id="148" w:name="_Toc165039749"/>
      <w:r>
        <w:rPr>
          <w:rFonts w:hint="eastAsia"/>
        </w:rPr>
        <w:t>配置管理</w:t>
      </w:r>
      <w:bookmarkEnd w:id="147"/>
      <w:r>
        <w:rPr>
          <w:rFonts w:hint="eastAsia"/>
        </w:rPr>
        <w:t>功能</w:t>
      </w:r>
      <w:bookmarkEnd w:id="148"/>
    </w:p>
    <w:p w14:paraId="4A0F5C14">
      <w:pPr>
        <w:pStyle w:val="3"/>
        <w:ind w:firstLine="482"/>
        <w:rPr>
          <w:b/>
        </w:rPr>
      </w:pPr>
      <w:r>
        <w:rPr>
          <w:rFonts w:hint="eastAsia"/>
          <w:b/>
        </w:rPr>
        <w:t>实现全院资产应用统一化管理。</w:t>
      </w:r>
    </w:p>
    <w:p w14:paraId="5B38E9D0">
      <w:pPr>
        <w:pStyle w:val="3"/>
      </w:pPr>
      <w:r>
        <w:rPr>
          <w:rFonts w:asciiTheme="minorEastAsia" w:hAnsiTheme="minorEastAsia" w:eastAsiaTheme="minorEastAsia"/>
        </w:rPr>
        <w:t>1、</w:t>
      </w:r>
      <w:r>
        <w:rPr>
          <w:rFonts w:hint="eastAsia" w:asciiTheme="minorEastAsia" w:hAnsiTheme="minorEastAsia" w:eastAsiaTheme="minorEastAsia"/>
        </w:rPr>
        <w:t>支持</w:t>
      </w:r>
      <w:r>
        <w:rPr>
          <w:rFonts w:hint="eastAsia"/>
        </w:rPr>
        <w:t>保障院方系统和业务稳定运行，主要针对院方的基础资产主机资源、产品资源、数据库资源、中间件资源A</w:t>
      </w:r>
      <w:r>
        <w:t>PI</w:t>
      </w:r>
      <w:r>
        <w:rPr>
          <w:rFonts w:hint="eastAsia"/>
        </w:rPr>
        <w:t>接口进行统一的管理。再把需要关联的产品、应用、监控模板、中间件、API接口导入并关联到各个主机，为运维管理、精准监控、第三方管理等提供一致性和准确性的数据支持，构筑为全阶段运维护航的奠基石。</w:t>
      </w:r>
    </w:p>
    <w:p w14:paraId="03F54744">
      <w:pPr>
        <w:pStyle w:val="3"/>
        <w:ind w:firstLine="482"/>
        <w:rPr>
          <w:b/>
        </w:rPr>
      </w:pPr>
      <w:r>
        <w:rPr>
          <w:rFonts w:hint="eastAsia"/>
          <w:b/>
        </w:rPr>
        <w:t>实现智能化数据预警。</w:t>
      </w:r>
    </w:p>
    <w:p w14:paraId="3D8DE551">
      <w:pPr>
        <w:pStyle w:val="3"/>
      </w:pPr>
      <w:r>
        <w:rPr>
          <w:rFonts w:asciiTheme="minorEastAsia" w:hAnsiTheme="minorEastAsia" w:eastAsiaTheme="minorEastAsia"/>
        </w:rPr>
        <w:t>1、</w:t>
      </w:r>
      <w:r>
        <w:rPr>
          <w:rFonts w:hint="eastAsia" w:asciiTheme="minorEastAsia" w:hAnsiTheme="minorEastAsia" w:eastAsiaTheme="minorEastAsia"/>
        </w:rPr>
        <w:t>支持</w:t>
      </w:r>
      <w:r>
        <w:rPr>
          <w:rFonts w:hint="eastAsia"/>
        </w:rPr>
        <w:t>针对管理的数据，基于一定时间维度设置合理的数据区间，低于或者高于该区间的数据，预判</w:t>
      </w:r>
      <w:r>
        <w:t>目前运行数据的</w:t>
      </w:r>
      <w:r>
        <w:rPr>
          <w:rFonts w:hint="eastAsia"/>
        </w:rPr>
        <w:t>可能会对业务性能产生影响。此时会对应发送预警通知并</w:t>
      </w:r>
      <w:r>
        <w:t>提出</w:t>
      </w:r>
      <w:r>
        <w:rPr>
          <w:rFonts w:hint="eastAsia"/>
        </w:rPr>
        <w:t>合理性建议。</w:t>
      </w:r>
    </w:p>
    <w:p w14:paraId="616C87A9">
      <w:pPr>
        <w:pStyle w:val="3"/>
      </w:pPr>
      <w:r>
        <w:rPr>
          <w:rFonts w:ascii="Times New Roman" w:hAnsi="Times New Roman"/>
          <w:kern w:val="0"/>
          <w:szCs w:val="24"/>
        </w:rPr>
        <w:t>2、</w:t>
      </w:r>
      <w:r>
        <w:rPr>
          <w:rFonts w:hint="eastAsia" w:ascii="Times New Roman" w:hAnsi="Times New Roman"/>
          <w:kern w:val="0"/>
          <w:sz w:val="21"/>
          <w:szCs w:val="21"/>
        </w:rPr>
        <w:t>▲</w:t>
      </w:r>
      <w:bookmarkStart w:id="149" w:name="_Toc123812199"/>
      <w:r>
        <w:rPr>
          <w:rFonts w:hint="eastAsia"/>
        </w:rPr>
        <w:t>具备主机资产管理</w:t>
      </w:r>
      <w:bookmarkEnd w:id="149"/>
      <w:r>
        <w:rPr>
          <w:rFonts w:hint="eastAsia"/>
        </w:rPr>
        <w:t>、</w:t>
      </w:r>
      <w:bookmarkStart w:id="150" w:name="_Toc123812200"/>
      <w:r>
        <w:rPr>
          <w:rFonts w:hint="eastAsia"/>
        </w:rPr>
        <w:t>中间件配置以及分发</w:t>
      </w:r>
      <w:bookmarkEnd w:id="150"/>
      <w:r>
        <w:rPr>
          <w:rFonts w:hint="eastAsia"/>
        </w:rPr>
        <w:t>、</w:t>
      </w:r>
      <w:bookmarkStart w:id="151" w:name="_Toc123812201"/>
      <w:bookmarkStart w:id="152" w:name="_Toc120201544"/>
      <w:r>
        <w:rPr>
          <w:rFonts w:hint="eastAsia"/>
        </w:rPr>
        <w:t>数据库配置以及分发</w:t>
      </w:r>
      <w:bookmarkEnd w:id="151"/>
      <w:bookmarkEnd w:id="152"/>
      <w:r>
        <w:rPr>
          <w:rFonts w:hint="eastAsia"/>
        </w:rPr>
        <w:t>、</w:t>
      </w:r>
      <w:bookmarkStart w:id="153" w:name="_Toc123812202"/>
      <w:r>
        <w:rPr>
          <w:rFonts w:hint="eastAsia"/>
        </w:rPr>
        <w:t>API管理列表</w:t>
      </w:r>
      <w:bookmarkEnd w:id="153"/>
      <w:r>
        <w:rPr>
          <w:rFonts w:hint="eastAsia"/>
        </w:rPr>
        <w:t>、</w:t>
      </w:r>
      <w:bookmarkStart w:id="154" w:name="_Toc123812203"/>
      <w:bookmarkStart w:id="155" w:name="_Toc103594714"/>
      <w:bookmarkStart w:id="156" w:name="_Toc98942182"/>
      <w:r>
        <w:rPr>
          <w:rFonts w:hint="eastAsia"/>
        </w:rPr>
        <w:t>O</w:t>
      </w:r>
      <w:r>
        <w:t>GG</w:t>
      </w:r>
      <w:r>
        <w:rPr>
          <w:rFonts w:hint="eastAsia"/>
        </w:rPr>
        <w:t>管理</w:t>
      </w:r>
      <w:bookmarkEnd w:id="154"/>
      <w:bookmarkEnd w:id="155"/>
      <w:bookmarkEnd w:id="156"/>
      <w:r>
        <w:rPr>
          <w:rFonts w:hint="eastAsia"/>
        </w:rPr>
        <w:t>（提供系统截图证明）</w:t>
      </w:r>
    </w:p>
    <w:p w14:paraId="26AD641B">
      <w:pPr>
        <w:pStyle w:val="6"/>
        <w:numPr>
          <w:ilvl w:val="3"/>
          <w:numId w:val="16"/>
        </w:numPr>
      </w:pPr>
      <w:bookmarkStart w:id="157" w:name="_Toc165039750"/>
      <w:bookmarkStart w:id="158" w:name="_Toc123812204"/>
      <w:r>
        <w:rPr>
          <w:rFonts w:hint="eastAsia"/>
        </w:rPr>
        <w:t>运维综合告警</w:t>
      </w:r>
      <w:bookmarkEnd w:id="157"/>
    </w:p>
    <w:p w14:paraId="4E973BA0">
      <w:pPr>
        <w:pStyle w:val="7"/>
        <w:numPr>
          <w:ilvl w:val="4"/>
          <w:numId w:val="16"/>
        </w:numPr>
      </w:pPr>
      <w:bookmarkStart w:id="159" w:name="_Toc165039751"/>
      <w:r>
        <w:rPr>
          <w:rFonts w:hint="eastAsia"/>
        </w:rPr>
        <w:t>运维监控</w:t>
      </w:r>
      <w:bookmarkEnd w:id="158"/>
      <w:bookmarkEnd w:id="159"/>
    </w:p>
    <w:p w14:paraId="067BB2EC">
      <w:pPr>
        <w:ind w:firstLine="480" w:firstLineChars="200"/>
      </w:pPr>
      <w:r>
        <w:rPr>
          <w:rFonts w:hint="eastAsia" w:asciiTheme="minorEastAsia" w:hAnsiTheme="minorEastAsia" w:eastAsiaTheme="minorEastAsia"/>
        </w:rPr>
        <w:t>1、支持</w:t>
      </w:r>
      <w:r>
        <w:rPr>
          <w:rFonts w:hint="eastAsia"/>
        </w:rPr>
        <w:t>监控平台中所有监控内容的汇总，以统一视图的形式展现。</w:t>
      </w:r>
      <w:r>
        <w:rPr>
          <w:rFonts w:hint="eastAsia" w:asciiTheme="minorEastAsia" w:hAnsiTheme="minorEastAsia" w:eastAsiaTheme="minorEastAsia"/>
        </w:rPr>
        <w:t>支持</w:t>
      </w:r>
      <w:r>
        <w:rPr>
          <w:rFonts w:hint="eastAsia"/>
        </w:rPr>
        <w:t>主要包括以下监控视图：</w:t>
      </w:r>
    </w:p>
    <w:p w14:paraId="76BE1252">
      <w:pPr>
        <w:pStyle w:val="175"/>
        <w:ind w:firstLine="482"/>
      </w:pPr>
      <w:r>
        <w:rPr>
          <w:b/>
        </w:rPr>
        <w:t>服务监控汇总</w:t>
      </w:r>
      <w:r>
        <w:rPr>
          <w:rFonts w:hint="eastAsia"/>
          <w:b/>
        </w:rPr>
        <w:t>：</w:t>
      </w:r>
      <w:r>
        <w:rPr>
          <w:rFonts w:hint="eastAsia"/>
        </w:rPr>
        <w:t>支持监控服务端的运行状态，显示服务端的</w:t>
      </w:r>
      <w:r>
        <w:t>IP地址，对服务监控，数据库监控，应用服务器监控进行汇总</w:t>
      </w:r>
      <w:r>
        <w:rPr>
          <w:rFonts w:hint="eastAsia"/>
        </w:rPr>
        <w:t>。</w:t>
      </w:r>
    </w:p>
    <w:p w14:paraId="18984868">
      <w:pPr>
        <w:pStyle w:val="175"/>
        <w:ind w:firstLine="482"/>
      </w:pPr>
      <w:r>
        <w:rPr>
          <w:b/>
        </w:rPr>
        <w:t>API服务监控汇总：</w:t>
      </w:r>
      <w:r>
        <w:rPr>
          <w:rFonts w:hint="eastAsia"/>
          <w:bCs/>
        </w:rPr>
        <w:t>支持</w:t>
      </w:r>
      <w:r>
        <w:t>对异常服务进行通知</w:t>
      </w:r>
      <w:r>
        <w:rPr>
          <w:rFonts w:hint="eastAsia"/>
        </w:rPr>
        <w:t>。</w:t>
      </w:r>
    </w:p>
    <w:p w14:paraId="02576FC4">
      <w:pPr>
        <w:pStyle w:val="175"/>
        <w:ind w:firstLine="482"/>
      </w:pPr>
      <w:r>
        <w:rPr>
          <w:b/>
        </w:rPr>
        <w:t>应用服务器监控</w:t>
      </w:r>
      <w:r>
        <w:rPr>
          <w:rFonts w:hint="eastAsia"/>
          <w:b/>
        </w:rPr>
        <w:t>概况：</w:t>
      </w:r>
      <w:r>
        <w:rPr>
          <w:rFonts w:hint="eastAsia"/>
          <w:bCs/>
        </w:rPr>
        <w:t>支持</w:t>
      </w:r>
      <w:r>
        <w:rPr>
          <w:rFonts w:hint="eastAsia"/>
        </w:rPr>
        <w:t>显示当前异常的应用服务器数量，并且支持下钻进行查看详细的应用服务器监控详情。</w:t>
      </w:r>
    </w:p>
    <w:p w14:paraId="554858F4">
      <w:pPr>
        <w:pStyle w:val="175"/>
        <w:ind w:firstLine="482"/>
      </w:pPr>
      <w:r>
        <w:rPr>
          <w:b/>
        </w:rPr>
        <w:t>数据库监控概况</w:t>
      </w:r>
      <w:r>
        <w:rPr>
          <w:rFonts w:hint="eastAsia"/>
          <w:b/>
        </w:rPr>
        <w:t>：</w:t>
      </w:r>
      <w:r>
        <w:rPr>
          <w:rFonts w:hint="eastAsia"/>
          <w:bCs/>
        </w:rPr>
        <w:t>支持</w:t>
      </w:r>
      <w:r>
        <w:rPr>
          <w:rFonts w:hint="eastAsia"/>
        </w:rPr>
        <w:t>显示当前异常的数据库数量，并且支持下钻进行查看详细的数据库监控详情。</w:t>
      </w:r>
    </w:p>
    <w:p w14:paraId="4225E003">
      <w:pPr>
        <w:pStyle w:val="175"/>
        <w:ind w:firstLine="482"/>
      </w:pPr>
      <w:r>
        <w:rPr>
          <w:b/>
        </w:rPr>
        <w:t>计划任务通知</w:t>
      </w:r>
      <w:r>
        <w:rPr>
          <w:rFonts w:hint="eastAsia"/>
          <w:b/>
        </w:rPr>
        <w:t>：</w:t>
      </w:r>
      <w:r>
        <w:rPr>
          <w:rFonts w:hint="eastAsia"/>
          <w:bCs/>
        </w:rPr>
        <w:t>支持</w:t>
      </w:r>
      <w:r>
        <w:rPr>
          <w:rFonts w:hint="eastAsia"/>
        </w:rPr>
        <w:t>能够显示最近的待办事项，并提供确定功能进行事件确认，为运维提供良好的帮助。</w:t>
      </w:r>
    </w:p>
    <w:p w14:paraId="10881314">
      <w:pPr>
        <w:pStyle w:val="175"/>
        <w:ind w:firstLine="482"/>
      </w:pPr>
      <w:r>
        <w:rPr>
          <w:b/>
        </w:rPr>
        <w:t>告警信息</w:t>
      </w:r>
      <w:r>
        <w:rPr>
          <w:rFonts w:hint="eastAsia"/>
          <w:b/>
        </w:rPr>
        <w:t>：支持</w:t>
      </w:r>
      <w:r>
        <w:rPr>
          <w:rFonts w:hint="eastAsia"/>
        </w:rPr>
        <w:t>对最近告警信息进行展示。</w:t>
      </w:r>
    </w:p>
    <w:p w14:paraId="46AB77BC">
      <w:pPr>
        <w:ind w:left="480"/>
      </w:pPr>
      <w:r>
        <w:rPr>
          <w:rFonts w:hint="eastAsia" w:ascii="Times New Roman" w:hAnsi="Times New Roman"/>
          <w:kern w:val="0"/>
          <w:sz w:val="21"/>
          <w:szCs w:val="21"/>
        </w:rPr>
        <w:t>2、▲</w:t>
      </w:r>
      <w:bookmarkStart w:id="160" w:name="_Toc123812205"/>
      <w:bookmarkStart w:id="161" w:name="_Toc120201548"/>
      <w:r>
        <w:rPr>
          <w:rFonts w:hint="eastAsia" w:ascii="Times New Roman" w:hAnsi="Times New Roman"/>
          <w:kern w:val="0"/>
          <w:szCs w:val="24"/>
        </w:rPr>
        <w:t>需具备</w:t>
      </w:r>
      <w:r>
        <w:rPr>
          <w:rFonts w:hint="eastAsia" w:ascii="宋体" w:hAnsi="宋体"/>
        </w:rPr>
        <w:t>数据库监控</w:t>
      </w:r>
      <w:bookmarkEnd w:id="160"/>
      <w:bookmarkEnd w:id="161"/>
      <w:r>
        <w:rPr>
          <w:rFonts w:hint="eastAsia" w:ascii="宋体" w:hAnsi="宋体"/>
        </w:rPr>
        <w:t>、</w:t>
      </w:r>
      <w:bookmarkStart w:id="162" w:name="_Toc123812206"/>
      <w:bookmarkStart w:id="163" w:name="_Toc120201549"/>
      <w:r>
        <w:rPr>
          <w:rFonts w:hint="eastAsia" w:ascii="宋体" w:hAnsi="宋体"/>
        </w:rPr>
        <w:t>链路监控</w:t>
      </w:r>
      <w:bookmarkEnd w:id="162"/>
      <w:bookmarkEnd w:id="163"/>
      <w:r>
        <w:rPr>
          <w:rFonts w:hint="eastAsia" w:ascii="宋体" w:hAnsi="宋体"/>
        </w:rPr>
        <w:t>、</w:t>
      </w:r>
      <w:bookmarkStart w:id="164" w:name="_Toc120201550"/>
      <w:bookmarkStart w:id="165" w:name="_Toc123812207"/>
      <w:r>
        <w:rPr>
          <w:rFonts w:hint="eastAsia" w:ascii="宋体" w:hAnsi="宋体"/>
        </w:rPr>
        <w:t>服务器监控</w:t>
      </w:r>
      <w:bookmarkEnd w:id="164"/>
      <w:bookmarkEnd w:id="165"/>
      <w:r>
        <w:rPr>
          <w:rFonts w:hint="eastAsia" w:ascii="宋体" w:hAnsi="宋体"/>
        </w:rPr>
        <w:t>、</w:t>
      </w:r>
      <w:bookmarkStart w:id="166" w:name="_Toc120201551"/>
      <w:bookmarkStart w:id="167" w:name="_Toc123812208"/>
      <w:r>
        <w:rPr>
          <w:rFonts w:hint="eastAsia" w:ascii="宋体" w:hAnsi="宋体"/>
        </w:rPr>
        <w:t>API监控</w:t>
      </w:r>
      <w:bookmarkEnd w:id="166"/>
      <w:bookmarkEnd w:id="167"/>
      <w:r>
        <w:rPr>
          <w:rFonts w:hint="eastAsia" w:ascii="宋体" w:hAnsi="宋体"/>
        </w:rPr>
        <w:t>、中间件监控、</w:t>
      </w:r>
      <w:bookmarkStart w:id="168" w:name="_Toc123812209"/>
      <w:r>
        <w:rPr>
          <w:rFonts w:hint="eastAsia" w:ascii="宋体" w:hAnsi="宋体"/>
        </w:rPr>
        <w:t>运维控制台</w:t>
      </w:r>
      <w:bookmarkEnd w:id="168"/>
      <w:r>
        <w:rPr>
          <w:rFonts w:hint="eastAsia"/>
        </w:rPr>
        <w:t>（提供系统截图证明）</w:t>
      </w:r>
    </w:p>
    <w:p w14:paraId="451DFE55">
      <w:pPr>
        <w:pStyle w:val="7"/>
        <w:numPr>
          <w:ilvl w:val="4"/>
          <w:numId w:val="16"/>
        </w:numPr>
      </w:pPr>
      <w:bookmarkStart w:id="169" w:name="_Toc165039752"/>
      <w:bookmarkStart w:id="170" w:name="_Toc123812210"/>
      <w:r>
        <w:rPr>
          <w:rFonts w:hint="eastAsia"/>
        </w:rPr>
        <w:t>告警管理</w:t>
      </w:r>
      <w:bookmarkEnd w:id="169"/>
      <w:bookmarkEnd w:id="170"/>
    </w:p>
    <w:p w14:paraId="38B11E03">
      <w:pPr>
        <w:ind w:firstLine="480"/>
      </w:pPr>
      <w:r>
        <w:rPr>
          <w:rFonts w:hint="eastAsia"/>
        </w:rPr>
        <w:t>1、根据现场采集回传的各种告警信息，</w:t>
      </w:r>
      <w:r>
        <w:rPr>
          <w:rFonts w:hint="eastAsia" w:asciiTheme="minorEastAsia" w:hAnsiTheme="minorEastAsia" w:eastAsiaTheme="minorEastAsia"/>
        </w:rPr>
        <w:t>支持</w:t>
      </w:r>
      <w:r>
        <w:rPr>
          <w:rFonts w:hint="eastAsia"/>
        </w:rPr>
        <w:t>在统一日志分析系统内进行大数据分析，生成对应的各项知识库，并且根据各个医院自身的告警状况生成对应的自定义巡检策略进行下派。实现依托于全方位采集、云端控制来达到全方位告警的目的，再经过大数据A</w:t>
      </w:r>
      <w:r>
        <w:t>I</w:t>
      </w:r>
      <w:r>
        <w:rPr>
          <w:rFonts w:hint="eastAsia"/>
        </w:rPr>
        <w:t>分析生成对应的知识库，以及每个项目特有的自定义巡检策略，从而达到“自动运维</w:t>
      </w:r>
      <w:r>
        <w:t>”</w:t>
      </w:r>
      <w:r>
        <w:rPr>
          <w:rFonts w:hint="eastAsia"/>
        </w:rPr>
        <w:t>的一整套体系。</w:t>
      </w:r>
    </w:p>
    <w:p w14:paraId="14B0BA14">
      <w:pPr>
        <w:ind w:firstLine="480" w:firstLineChars="200"/>
      </w:pPr>
      <w:r>
        <w:rPr>
          <w:rFonts w:hint="eastAsia"/>
        </w:rPr>
        <w:t>2、基于采集到的告警信息，</w:t>
      </w:r>
      <w:r>
        <w:rPr>
          <w:rFonts w:hint="eastAsia" w:asciiTheme="minorEastAsia" w:hAnsiTheme="minorEastAsia" w:eastAsiaTheme="minorEastAsia"/>
        </w:rPr>
        <w:t>支持</w:t>
      </w:r>
      <w:r>
        <w:rPr>
          <w:rFonts w:hint="eastAsia"/>
        </w:rPr>
        <w:t>构建告警中心，直观的显示项目的主机信息、数据库信息等。其中包含负载服务器信息、中间件的集群信息、数据库服务器的使用概况、基于产品线的服务器概况等，并支持点击下转到各个对应的内容详情页功能，为运维人员提供更好的信息展示页面。</w:t>
      </w:r>
    </w:p>
    <w:p w14:paraId="6A352ABA">
      <w:pPr>
        <w:pStyle w:val="175"/>
        <w:ind w:firstLine="482"/>
      </w:pPr>
      <w:r>
        <w:rPr>
          <w:rFonts w:hint="eastAsia"/>
          <w:b/>
        </w:rPr>
        <w:t>3、具备告警等级分类：</w:t>
      </w:r>
      <w:r>
        <w:rPr>
          <w:rFonts w:hint="eastAsia"/>
        </w:rPr>
        <w:t>灾难、严重、一般严重为红色展示，告警为橙色展示，轻微为蓝色展示。</w:t>
      </w:r>
    </w:p>
    <w:p w14:paraId="6270C6B6">
      <w:pPr>
        <w:pStyle w:val="175"/>
        <w:ind w:firstLine="482"/>
      </w:pPr>
      <w:r>
        <w:rPr>
          <w:rFonts w:hint="eastAsia"/>
          <w:b/>
        </w:rPr>
        <w:t>4、具备告警查看和处理：</w:t>
      </w:r>
      <w:r>
        <w:rPr>
          <w:rFonts w:hint="eastAsia"/>
        </w:rPr>
        <w:t>运维人员可以在告警中心页面上查看告警问题、等级情况、和具体告警内容，线下处理完成后可以在告警页面上关闭该告警。</w:t>
      </w:r>
    </w:p>
    <w:p w14:paraId="4E296EAF">
      <w:pPr>
        <w:pStyle w:val="175"/>
        <w:ind w:firstLine="482"/>
      </w:pPr>
      <w:r>
        <w:rPr>
          <w:rFonts w:hint="eastAsia"/>
          <w:b/>
        </w:rPr>
        <w:t>5、具备多条件搜索告警信息：</w:t>
      </w:r>
      <w:r>
        <w:rPr>
          <w:rFonts w:hint="eastAsia"/>
        </w:rPr>
        <w:t>支持告警等级、告警状态、告警对象、告警问题、告警时间等多条件搜索对应告警信息情况。</w:t>
      </w:r>
    </w:p>
    <w:p w14:paraId="710D04E5">
      <w:pPr>
        <w:pStyle w:val="6"/>
        <w:numPr>
          <w:ilvl w:val="3"/>
          <w:numId w:val="16"/>
        </w:numPr>
      </w:pPr>
      <w:bookmarkStart w:id="171" w:name="_Toc165039753"/>
      <w:bookmarkStart w:id="172" w:name="_Toc123812218"/>
      <w:bookmarkStart w:id="173" w:name="_Toc120201561"/>
      <w:r>
        <w:rPr>
          <w:rFonts w:hint="eastAsia"/>
        </w:rPr>
        <w:t>运维实时大屏</w:t>
      </w:r>
      <w:bookmarkEnd w:id="171"/>
      <w:r>
        <w:rPr>
          <w:rFonts w:hint="eastAsia"/>
        </w:rPr>
        <w:t xml:space="preserve"> </w:t>
      </w:r>
      <w:bookmarkEnd w:id="172"/>
      <w:bookmarkEnd w:id="173"/>
    </w:p>
    <w:p w14:paraId="72ABAD57">
      <w:pPr>
        <w:ind w:firstLine="480"/>
      </w:pPr>
      <w:r>
        <w:rPr>
          <w:rFonts w:hint="eastAsia" w:asciiTheme="minorEastAsia" w:hAnsiTheme="minorEastAsia" w:eastAsiaTheme="minorEastAsia"/>
        </w:rPr>
        <w:t>1、支持</w:t>
      </w:r>
      <w:r>
        <w:rPr>
          <w:rFonts w:hint="eastAsia"/>
        </w:rPr>
        <w:t>可针对</w:t>
      </w:r>
      <w:r>
        <w:t>当前院内服务器运行情况</w:t>
      </w:r>
      <w:r>
        <w:rPr>
          <w:rFonts w:hint="eastAsia"/>
        </w:rPr>
        <w:t>、</w:t>
      </w:r>
      <w:r>
        <w:t>数据库运行情况</w:t>
      </w:r>
      <w:r>
        <w:rPr>
          <w:rFonts w:hint="eastAsia"/>
        </w:rPr>
        <w:t>、</w:t>
      </w:r>
      <w:r>
        <w:t>API监控情况</w:t>
      </w:r>
      <w:r>
        <w:rPr>
          <w:rFonts w:hint="eastAsia"/>
        </w:rPr>
        <w:t>、</w:t>
      </w:r>
      <w:r>
        <w:t>以及预警消息</w:t>
      </w:r>
      <w:r>
        <w:rPr>
          <w:rFonts w:hint="eastAsia"/>
        </w:rPr>
        <w:t>做出可视化动态展示。运维人员</w:t>
      </w:r>
      <w:r>
        <w:t>可通过业务分类查看当前业务流程中涉及到的服务器运行情况</w:t>
      </w:r>
      <w:r>
        <w:rPr>
          <w:rFonts w:hint="eastAsia"/>
        </w:rPr>
        <w:t>，</w:t>
      </w:r>
      <w:r>
        <w:t>选择某个服务器时</w:t>
      </w:r>
      <w:r>
        <w:rPr>
          <w:rFonts w:hint="eastAsia"/>
        </w:rPr>
        <w:t>，</w:t>
      </w:r>
      <w:r>
        <w:t>显示当前服务器的具体监控信息</w:t>
      </w:r>
      <w:r>
        <w:rPr>
          <w:rFonts w:hint="eastAsia"/>
        </w:rPr>
        <w:t>，</w:t>
      </w:r>
      <w:r>
        <w:t>如磁盘</w:t>
      </w:r>
      <w:r>
        <w:rPr>
          <w:rFonts w:hint="eastAsia"/>
        </w:rPr>
        <w:t>空间、内存使用率、CPU使用率、数据库连接数、数据库死锁、API访问响应时间、API访问速度等。</w:t>
      </w:r>
    </w:p>
    <w:p w14:paraId="50697929">
      <w:pPr>
        <w:pStyle w:val="175"/>
        <w:ind w:firstLine="480"/>
      </w:pPr>
      <w:bookmarkStart w:id="174" w:name="_Toc165039754"/>
      <w:r>
        <w:rPr>
          <w:rFonts w:hint="eastAsia"/>
        </w:rPr>
        <w:t>2、支持</w:t>
      </w:r>
      <w:r>
        <w:t>当前医院监控主机</w:t>
      </w:r>
      <w:r>
        <w:rPr>
          <w:rFonts w:hint="eastAsia"/>
        </w:rPr>
        <w:t>、</w:t>
      </w:r>
      <w:r>
        <w:t>数据库</w:t>
      </w:r>
      <w:r>
        <w:rPr>
          <w:rFonts w:hint="eastAsia"/>
        </w:rPr>
        <w:t>、</w:t>
      </w:r>
      <w:r>
        <w:t>API的正常数与异常数量</w:t>
      </w:r>
      <w:r>
        <w:rPr>
          <w:rFonts w:hint="eastAsia"/>
        </w:rPr>
        <w:t>展示</w:t>
      </w:r>
      <w:bookmarkEnd w:id="174"/>
    </w:p>
    <w:p w14:paraId="2E62C7FC">
      <w:pPr>
        <w:pStyle w:val="175"/>
        <w:ind w:firstLine="480"/>
      </w:pPr>
      <w:bookmarkStart w:id="175" w:name="_Toc165039755"/>
      <w:r>
        <w:rPr>
          <w:rFonts w:hint="eastAsia"/>
        </w:rPr>
        <w:t>3、支持</w:t>
      </w:r>
      <w:r>
        <w:t>当前医院业务列表</w:t>
      </w:r>
      <w:r>
        <w:rPr>
          <w:rFonts w:hint="eastAsia"/>
        </w:rPr>
        <w:t>展示</w:t>
      </w:r>
      <w:bookmarkEnd w:id="175"/>
    </w:p>
    <w:p w14:paraId="67A09A39">
      <w:pPr>
        <w:pStyle w:val="175"/>
        <w:ind w:firstLine="480"/>
      </w:pPr>
      <w:bookmarkStart w:id="176" w:name="_Toc165039756"/>
      <w:r>
        <w:rPr>
          <w:rFonts w:hint="eastAsia"/>
        </w:rPr>
        <w:t>4、支持</w:t>
      </w:r>
      <w:r>
        <w:t>当前业务涉及数据展示</w:t>
      </w:r>
      <w:bookmarkEnd w:id="176"/>
    </w:p>
    <w:p w14:paraId="0C45A174">
      <w:pPr>
        <w:pStyle w:val="6"/>
        <w:numPr>
          <w:ilvl w:val="3"/>
          <w:numId w:val="16"/>
        </w:numPr>
      </w:pPr>
      <w:bookmarkStart w:id="177" w:name="_Toc97276096"/>
      <w:r>
        <w:rPr>
          <w:rFonts w:hint="eastAsia"/>
        </w:rPr>
        <w:t>数据库护航服务</w:t>
      </w:r>
      <w:bookmarkEnd w:id="177"/>
    </w:p>
    <w:p w14:paraId="43B65631">
      <w:pPr>
        <w:pStyle w:val="7"/>
        <w:numPr>
          <w:ilvl w:val="4"/>
          <w:numId w:val="16"/>
        </w:numPr>
      </w:pPr>
      <w:bookmarkStart w:id="178" w:name="_Toc97217839"/>
      <w:bookmarkStart w:id="179" w:name="_Toc97276097"/>
      <w:r>
        <w:t>实时故障预警</w:t>
      </w:r>
      <w:bookmarkEnd w:id="178"/>
      <w:bookmarkEnd w:id="179"/>
    </w:p>
    <w:p w14:paraId="2FC59F70">
      <w:pPr>
        <w:ind w:firstLine="420"/>
        <w:rPr>
          <w:lang w:val="en-GB"/>
        </w:rPr>
      </w:pPr>
      <w:r>
        <w:rPr>
          <w:rFonts w:hint="eastAsia"/>
        </w:rPr>
        <w:t>1、</w:t>
      </w:r>
      <w:r>
        <w:rPr>
          <w:lang w:val="en-GB"/>
        </w:rPr>
        <w:t>部署实时监控软件，</w:t>
      </w:r>
      <w:r>
        <w:rPr>
          <w:rFonts w:hint="eastAsia" w:asciiTheme="minorEastAsia" w:hAnsiTheme="minorEastAsia" w:eastAsiaTheme="minorEastAsia"/>
        </w:rPr>
        <w:t>支持</w:t>
      </w:r>
      <w:r>
        <w:rPr>
          <w:lang w:val="en-GB"/>
        </w:rPr>
        <w:t>对系统与数据库运行状态进行监控。自动发送告警</w:t>
      </w:r>
      <w:r>
        <w:rPr>
          <w:rFonts w:hint="eastAsia"/>
          <w:lang w:val="en-GB"/>
        </w:rPr>
        <w:t>（</w:t>
      </w:r>
      <w:r>
        <w:rPr>
          <w:lang w:val="en-GB"/>
        </w:rPr>
        <w:t>邮件</w:t>
      </w:r>
      <w:r>
        <w:rPr>
          <w:rFonts w:hint="eastAsia"/>
          <w:lang w:val="en-GB"/>
        </w:rPr>
        <w:t>、微信或短信）</w:t>
      </w:r>
      <w:r>
        <w:rPr>
          <w:lang w:val="en-GB"/>
        </w:rPr>
        <w:t>给技术服务人员。技术服务人员收到告警后及时的通知至客户，并对告警信息进行处理，以减少或避免故障对系统运行的影响。</w:t>
      </w:r>
    </w:p>
    <w:p w14:paraId="366E0DE6">
      <w:pPr>
        <w:pStyle w:val="7"/>
        <w:numPr>
          <w:ilvl w:val="4"/>
          <w:numId w:val="16"/>
        </w:numPr>
      </w:pPr>
      <w:bookmarkStart w:id="180" w:name="_Toc97276098"/>
      <w:bookmarkStart w:id="181" w:name="_Toc97217840"/>
      <w:r>
        <w:rPr>
          <w:rFonts w:hint="eastAsia"/>
        </w:rPr>
        <w:t>定期健康检查</w:t>
      </w:r>
      <w:bookmarkEnd w:id="180"/>
      <w:bookmarkEnd w:id="181"/>
    </w:p>
    <w:p w14:paraId="7F6A51DA">
      <w:pPr>
        <w:pStyle w:val="8"/>
        <w:numPr>
          <w:ilvl w:val="5"/>
          <w:numId w:val="16"/>
        </w:numPr>
      </w:pPr>
      <w:bookmarkStart w:id="182" w:name="_Toc97217841"/>
      <w:bookmarkStart w:id="183" w:name="_Toc97276099"/>
      <w:r>
        <w:rPr>
          <w:rFonts w:hint="eastAsia"/>
        </w:rPr>
        <w:t>每日健康检查服务</w:t>
      </w:r>
      <w:bookmarkEnd w:id="182"/>
      <w:bookmarkEnd w:id="183"/>
    </w:p>
    <w:p w14:paraId="7D51ACB3">
      <w:pPr>
        <w:ind w:firstLine="437"/>
      </w:pPr>
      <w:r>
        <w:rPr>
          <w:rFonts w:hint="eastAsia" w:asciiTheme="minorEastAsia" w:hAnsiTheme="minorEastAsia" w:eastAsiaTheme="minorEastAsia"/>
        </w:rPr>
        <w:t>1、支持</w:t>
      </w:r>
      <w:r>
        <w:rPr>
          <w:rFonts w:hint="eastAsia"/>
        </w:rPr>
        <w:t>每日生成系统健康状态报告并发送邮件通知给指定服务人员与客户运维人员，服务人员审核报告如发现异常及时通知客户运维人员。</w:t>
      </w:r>
    </w:p>
    <w:p w14:paraId="6C839EE7">
      <w:pPr>
        <w:pStyle w:val="8"/>
        <w:numPr>
          <w:ilvl w:val="5"/>
          <w:numId w:val="16"/>
        </w:numPr>
      </w:pPr>
      <w:bookmarkStart w:id="184" w:name="_Toc97217842"/>
      <w:bookmarkStart w:id="185" w:name="_Toc97276100"/>
      <w:r>
        <w:rPr>
          <w:rFonts w:hint="eastAsia"/>
        </w:rPr>
        <w:t>季度健康分析服务说明</w:t>
      </w:r>
      <w:bookmarkEnd w:id="184"/>
      <w:bookmarkEnd w:id="185"/>
    </w:p>
    <w:p w14:paraId="342B9532">
      <w:pPr>
        <w:ind w:firstLine="420"/>
        <w:rPr>
          <w:lang w:val="en-GB"/>
        </w:rPr>
      </w:pPr>
      <w:r>
        <w:rPr>
          <w:rFonts w:hint="eastAsia" w:asciiTheme="minorEastAsia" w:hAnsiTheme="minorEastAsia" w:eastAsiaTheme="minorEastAsia"/>
        </w:rPr>
        <w:t>1、支持</w:t>
      </w:r>
      <w:r>
        <w:rPr>
          <w:rFonts w:hint="eastAsia"/>
          <w:lang w:val="en-GB"/>
        </w:rPr>
        <w:t>根据</w:t>
      </w:r>
      <w:r>
        <w:rPr>
          <w:lang w:val="en-GB"/>
        </w:rPr>
        <w:t>客户</w:t>
      </w:r>
      <w:r>
        <w:rPr>
          <w:rFonts w:hint="eastAsia"/>
          <w:lang w:val="en-GB"/>
        </w:rPr>
        <w:t>业务的发展及系统压力的实际情况，每季度或依据</w:t>
      </w:r>
      <w:r>
        <w:rPr>
          <w:lang w:val="en-GB"/>
        </w:rPr>
        <w:t>客户</w:t>
      </w:r>
      <w:r>
        <w:rPr>
          <w:rFonts w:hint="eastAsia"/>
          <w:lang w:val="en-GB"/>
        </w:rPr>
        <w:t>要求对服务器操作系统</w:t>
      </w:r>
      <w:r>
        <w:rPr>
          <w:lang w:val="en-GB"/>
        </w:rPr>
        <w:t>及数据库</w:t>
      </w:r>
      <w:r>
        <w:rPr>
          <w:rFonts w:hint="eastAsia"/>
          <w:lang w:val="en-GB"/>
        </w:rPr>
        <w:t>进行健康检查，分析数据库历史运行趋势，根据历史运行趋势及时诊断并调整数据库相关指标以减少或避免数据库系统发生运行故障。</w:t>
      </w:r>
    </w:p>
    <w:p w14:paraId="03C980E0">
      <w:pPr>
        <w:pStyle w:val="8"/>
        <w:numPr>
          <w:ilvl w:val="5"/>
          <w:numId w:val="16"/>
        </w:numPr>
        <w:rPr>
          <w:lang w:val="en-GB"/>
        </w:rPr>
      </w:pPr>
      <w:bookmarkStart w:id="186" w:name="_Toc97276101"/>
      <w:bookmarkStart w:id="187" w:name="_Toc97217844"/>
      <w:r>
        <w:rPr>
          <w:rFonts w:hint="eastAsia"/>
          <w:lang w:val="en-GB"/>
        </w:rPr>
        <w:t>健康检查影响与要求</w:t>
      </w:r>
      <w:bookmarkEnd w:id="186"/>
      <w:bookmarkEnd w:id="187"/>
    </w:p>
    <w:p w14:paraId="58C4859E">
      <w:pPr>
        <w:pStyle w:val="175"/>
        <w:ind w:firstLine="480"/>
        <w:rPr>
          <w:lang w:val="en-GB"/>
        </w:rPr>
      </w:pPr>
      <w:r>
        <w:rPr>
          <w:rFonts w:hint="eastAsia"/>
        </w:rPr>
        <w:t>1、</w:t>
      </w:r>
      <w:r>
        <w:rPr>
          <w:rFonts w:hint="eastAsia"/>
          <w:lang w:val="en-GB"/>
        </w:rPr>
        <w:t>检查权限要求：</w:t>
      </w:r>
      <w:r>
        <w:rPr>
          <w:rFonts w:hint="eastAsia" w:asciiTheme="minorEastAsia" w:hAnsiTheme="minorEastAsia" w:eastAsiaTheme="minorEastAsia"/>
        </w:rPr>
        <w:t>支持</w:t>
      </w:r>
      <w:r>
        <w:rPr>
          <w:rFonts w:hint="eastAsia"/>
          <w:lang w:val="en-GB"/>
        </w:rPr>
        <w:t>在进行健康检查的时候，我们需要采集操作系统/数据库的状态信息。因此，需要操作系统/数据库中管理员的权限；</w:t>
      </w:r>
    </w:p>
    <w:p w14:paraId="154457D8">
      <w:pPr>
        <w:pStyle w:val="175"/>
        <w:ind w:firstLine="480"/>
        <w:rPr>
          <w:lang w:val="en-GB"/>
        </w:rPr>
      </w:pPr>
      <w:r>
        <w:rPr>
          <w:rFonts w:hint="eastAsia"/>
        </w:rPr>
        <w:t>2、</w:t>
      </w:r>
      <w:r>
        <w:rPr>
          <w:rFonts w:hint="eastAsia"/>
          <w:lang w:val="en-GB"/>
        </w:rPr>
        <w:t>检查性能影响：</w:t>
      </w:r>
      <w:r>
        <w:rPr>
          <w:rFonts w:hint="eastAsia" w:asciiTheme="minorEastAsia" w:hAnsiTheme="minorEastAsia" w:eastAsiaTheme="minorEastAsia"/>
        </w:rPr>
        <w:t>支持</w:t>
      </w:r>
      <w:r>
        <w:rPr>
          <w:rFonts w:hint="eastAsia"/>
          <w:lang w:val="en-GB"/>
        </w:rPr>
        <w:t>在进行健康检查的时候，我们将利用脚本或操作系统/数据库性能查看工具查询操作系统操作运行状态。这样的操作会对操作系统/数据库产生微量的性能影响，性能影响低于5%。</w:t>
      </w:r>
    </w:p>
    <w:p w14:paraId="0F829701">
      <w:pPr>
        <w:ind w:firstLine="480" w:firstLineChars="200"/>
        <w:rPr>
          <w:lang w:val="en-GB"/>
        </w:rPr>
      </w:pPr>
      <w:r>
        <w:rPr>
          <w:rFonts w:hint="eastAsia"/>
        </w:rPr>
        <w:t>3、</w:t>
      </w:r>
      <w:r>
        <w:rPr>
          <w:rFonts w:hint="eastAsia"/>
          <w:lang w:val="en-GB"/>
        </w:rPr>
        <w:t>检查工具要求：</w:t>
      </w:r>
      <w:r>
        <w:rPr>
          <w:rFonts w:hint="eastAsia" w:asciiTheme="minorEastAsia" w:hAnsiTheme="minorEastAsia" w:eastAsiaTheme="minorEastAsia"/>
        </w:rPr>
        <w:t>支持</w:t>
      </w:r>
      <w:r>
        <w:rPr>
          <w:rFonts w:hint="eastAsia"/>
          <w:lang w:val="en-GB"/>
        </w:rPr>
        <w:t>SSH、Sqlplus工具；定制的健康检查脚本；AWR/ASH/ADDM工具 (收集系统性能信息的程序包)；Oracle RDA (</w:t>
      </w:r>
      <w:r>
        <w:rPr>
          <w:lang w:val="en-GB"/>
        </w:rPr>
        <w:t>Remote Diagnostic Agent</w:t>
      </w:r>
      <w:r>
        <w:rPr>
          <w:rFonts w:hint="eastAsia"/>
          <w:lang w:val="en-GB"/>
        </w:rPr>
        <w:t xml:space="preserve"> -- Oracle提供的标准远程诊断脚本)；</w:t>
      </w:r>
    </w:p>
    <w:p w14:paraId="6CD717D8">
      <w:pPr>
        <w:pStyle w:val="7"/>
        <w:numPr>
          <w:ilvl w:val="4"/>
          <w:numId w:val="16"/>
        </w:numPr>
        <w:rPr>
          <w:lang w:val="en-GB"/>
        </w:rPr>
      </w:pPr>
      <w:bookmarkStart w:id="188" w:name="_Toc97217847"/>
      <w:bookmarkStart w:id="189" w:name="_Toc97276102"/>
      <w:r>
        <w:rPr>
          <w:rFonts w:hint="eastAsia"/>
          <w:lang w:val="en-GB"/>
        </w:rPr>
        <w:t>数据库</w:t>
      </w:r>
      <w:r>
        <w:rPr>
          <w:lang w:val="en-GB"/>
        </w:rPr>
        <w:t>性能优化</w:t>
      </w:r>
      <w:bookmarkEnd w:id="188"/>
      <w:bookmarkEnd w:id="189"/>
    </w:p>
    <w:p w14:paraId="2FCB91F8">
      <w:pPr>
        <w:ind w:firstLine="437"/>
        <w:rPr>
          <w:lang w:val="en-GB"/>
        </w:rPr>
      </w:pPr>
      <w:r>
        <w:rPr>
          <w:rFonts w:hint="eastAsia"/>
        </w:rPr>
        <w:t>具备在</w:t>
      </w:r>
      <w:r>
        <w:rPr>
          <w:rFonts w:hint="eastAsia"/>
          <w:lang w:val="en-GB"/>
        </w:rPr>
        <w:t>以下两种情况对数据库进行性能调优：</w:t>
      </w:r>
    </w:p>
    <w:p w14:paraId="44C46552">
      <w:pPr>
        <w:pStyle w:val="175"/>
        <w:ind w:firstLine="480"/>
        <w:rPr>
          <w:lang w:val="en-GB"/>
        </w:rPr>
      </w:pPr>
      <w:r>
        <w:rPr>
          <w:rFonts w:hint="eastAsia"/>
        </w:rPr>
        <w:t>1、</w:t>
      </w:r>
      <w:r>
        <w:rPr>
          <w:rFonts w:hint="eastAsia"/>
          <w:lang w:val="en-GB"/>
        </w:rPr>
        <w:t>系统性能出现下降，客户要求进行数据库性能调整。</w:t>
      </w:r>
    </w:p>
    <w:p w14:paraId="2A5A1EE2">
      <w:pPr>
        <w:ind w:firstLine="480" w:firstLineChars="200"/>
        <w:rPr>
          <w:lang w:val="en-GB"/>
        </w:rPr>
      </w:pPr>
      <w:r>
        <w:rPr>
          <w:rFonts w:hint="eastAsia"/>
        </w:rPr>
        <w:t>2、</w:t>
      </w:r>
      <w:r>
        <w:rPr>
          <w:rFonts w:hint="eastAsia"/>
          <w:lang w:val="en-GB"/>
        </w:rPr>
        <w:t>当前数据库性能不能体现客户软、硬件投资的性能价格比，需要性能调优。</w:t>
      </w:r>
    </w:p>
    <w:p w14:paraId="21C6BC0D">
      <w:pPr>
        <w:pStyle w:val="7"/>
        <w:numPr>
          <w:ilvl w:val="4"/>
          <w:numId w:val="16"/>
        </w:numPr>
        <w:rPr>
          <w:lang w:val="en-GB"/>
        </w:rPr>
      </w:pPr>
      <w:bookmarkStart w:id="190" w:name="_Toc97276103"/>
      <w:bookmarkStart w:id="191" w:name="_Toc97217852"/>
      <w:r>
        <w:rPr>
          <w:lang w:val="en-GB"/>
        </w:rPr>
        <w:t>数据库容灾备份建设</w:t>
      </w:r>
      <w:bookmarkEnd w:id="190"/>
      <w:bookmarkEnd w:id="191"/>
    </w:p>
    <w:p w14:paraId="64BFEA80">
      <w:pPr>
        <w:ind w:firstLine="437"/>
        <w:rPr>
          <w:lang w:val="en-GB"/>
        </w:rPr>
      </w:pPr>
      <w:r>
        <w:rPr>
          <w:rFonts w:hint="eastAsia" w:asciiTheme="minorEastAsia" w:hAnsiTheme="minorEastAsia" w:eastAsiaTheme="minorEastAsia"/>
        </w:rPr>
        <w:t>1、支持</w:t>
      </w:r>
      <w:r>
        <w:rPr>
          <w:rFonts w:hint="eastAsia"/>
          <w:lang w:val="en-GB"/>
        </w:rPr>
        <w:t>在充分利用客户目前的软硬件资源的情况下，协助</w:t>
      </w:r>
      <w:r>
        <w:rPr>
          <w:lang w:val="en-GB"/>
        </w:rPr>
        <w:fldChar w:fldCharType="begin"/>
      </w:r>
      <w:r>
        <w:rPr>
          <w:lang w:val="en-GB"/>
        </w:rPr>
        <w:instrText xml:space="preserve"> DOCPROPERTY  客户名称  \* MERGEFORMAT </w:instrText>
      </w:r>
      <w:r>
        <w:rPr>
          <w:lang w:val="en-GB"/>
        </w:rPr>
        <w:fldChar w:fldCharType="separate"/>
      </w:r>
      <w:r>
        <w:rPr>
          <w:lang w:val="en-GB"/>
        </w:rPr>
        <w:t>客户</w:t>
      </w:r>
      <w:r>
        <w:rPr>
          <w:lang w:val="en-GB"/>
        </w:rPr>
        <w:fldChar w:fldCharType="end"/>
      </w:r>
      <w:r>
        <w:rPr>
          <w:rFonts w:hint="eastAsia"/>
          <w:lang w:val="en-GB"/>
        </w:rPr>
        <w:t>实施系统数据库备份与恢复保护策略，并且提供测试容灾备份有效性的服务。</w:t>
      </w:r>
    </w:p>
    <w:p w14:paraId="035D05AE">
      <w:pPr>
        <w:pStyle w:val="7"/>
        <w:numPr>
          <w:ilvl w:val="4"/>
          <w:numId w:val="16"/>
        </w:numPr>
        <w:rPr>
          <w:lang w:val="en-GB"/>
        </w:rPr>
      </w:pPr>
      <w:bookmarkStart w:id="192" w:name="_Toc97276104"/>
      <w:bookmarkStart w:id="193" w:name="_Toc97217855"/>
      <w:r>
        <w:rPr>
          <w:lang w:val="en-GB"/>
        </w:rPr>
        <w:t>应急故障响应</w:t>
      </w:r>
      <w:bookmarkEnd w:id="192"/>
      <w:bookmarkEnd w:id="193"/>
    </w:p>
    <w:p w14:paraId="65C4F719">
      <w:pPr>
        <w:ind w:firstLine="437"/>
        <w:rPr>
          <w:lang w:val="en-GB"/>
        </w:rPr>
      </w:pPr>
      <w:r>
        <w:rPr>
          <w:rFonts w:hint="eastAsia" w:asciiTheme="minorEastAsia" w:hAnsiTheme="minorEastAsia" w:eastAsiaTheme="minorEastAsia"/>
        </w:rPr>
        <w:t>2、支持</w:t>
      </w:r>
      <w:r>
        <w:rPr>
          <w:rFonts w:hint="eastAsia"/>
          <w:lang w:val="en-GB"/>
        </w:rPr>
        <w:t>在</w:t>
      </w:r>
      <w:r>
        <w:rPr>
          <w:lang w:val="en-GB"/>
        </w:rPr>
        <w:fldChar w:fldCharType="begin"/>
      </w:r>
      <w:r>
        <w:rPr>
          <w:lang w:val="en-GB"/>
        </w:rPr>
        <w:instrText xml:space="preserve"> DOCPROPERTY  客户名称  \* MERGEFORMAT </w:instrText>
      </w:r>
      <w:r>
        <w:rPr>
          <w:lang w:val="en-GB"/>
        </w:rPr>
        <w:fldChar w:fldCharType="separate"/>
      </w:r>
      <w:r>
        <w:rPr>
          <w:lang w:val="en-GB"/>
        </w:rPr>
        <w:t>客户</w:t>
      </w:r>
      <w:r>
        <w:rPr>
          <w:lang w:val="en-GB"/>
        </w:rPr>
        <w:fldChar w:fldCharType="end"/>
      </w:r>
      <w:r>
        <w:rPr>
          <w:rFonts w:hint="eastAsia"/>
          <w:lang w:val="en-GB"/>
        </w:rPr>
        <w:t>系统发生故障或遭遇灾难时，提供应急恢复服务，在最短的时间内恢复系统运行或根据时间情况，最大限度地抢救数据。</w:t>
      </w:r>
    </w:p>
    <w:p w14:paraId="4F50BBFE">
      <w:pPr>
        <w:pStyle w:val="7"/>
        <w:numPr>
          <w:ilvl w:val="4"/>
          <w:numId w:val="16"/>
        </w:numPr>
      </w:pPr>
      <w:bookmarkStart w:id="194" w:name="_Toc97276105"/>
      <w:r>
        <w:rPr>
          <w:rFonts w:hint="eastAsia"/>
        </w:rPr>
        <w:t>项目技术支持</w:t>
      </w:r>
      <w:bookmarkEnd w:id="194"/>
    </w:p>
    <w:p w14:paraId="12481423">
      <w:pPr>
        <w:ind w:firstLine="437"/>
        <w:rPr>
          <w:lang w:val="en-GB"/>
        </w:rPr>
      </w:pPr>
      <w:r>
        <w:rPr>
          <w:rFonts w:hint="eastAsia" w:asciiTheme="minorEastAsia" w:hAnsiTheme="minorEastAsia" w:eastAsiaTheme="minorEastAsia"/>
        </w:rPr>
        <w:t>3、支持</w:t>
      </w:r>
      <w:r>
        <w:rPr>
          <w:rFonts w:hint="eastAsia"/>
          <w:lang w:val="en-GB"/>
        </w:rPr>
        <w:t>在</w:t>
      </w:r>
      <w:r>
        <w:rPr>
          <w:lang w:val="en-GB"/>
        </w:rPr>
        <w:fldChar w:fldCharType="begin"/>
      </w:r>
      <w:r>
        <w:rPr>
          <w:lang w:val="en-GB"/>
        </w:rPr>
        <w:instrText xml:space="preserve"> DOCPROPERTY  客户名称  \* MERGEFORMAT </w:instrText>
      </w:r>
      <w:r>
        <w:rPr>
          <w:lang w:val="en-GB"/>
        </w:rPr>
        <w:fldChar w:fldCharType="separate"/>
      </w:r>
      <w:r>
        <w:rPr>
          <w:lang w:val="en-GB"/>
        </w:rPr>
        <w:t>“客户名称”</w:t>
      </w:r>
      <w:r>
        <w:rPr>
          <w:lang w:val="en-GB"/>
        </w:rPr>
        <w:fldChar w:fldCharType="end"/>
      </w:r>
      <w:r>
        <w:rPr>
          <w:rFonts w:hint="eastAsia"/>
          <w:lang w:val="en-GB"/>
        </w:rPr>
        <w:t>系统进行重大软硬件改动时，如：硬件搬家、操作系统升级、硬件升级等可能会影响数据库的动作时，根据客户的需要，提供现场服务（如客户认可，也可实施远程待命，见远程服务介绍），确保如果数据库系统出现问题，能够在第一时间响应并解决问题。包括如下内容</w:t>
      </w:r>
    </w:p>
    <w:p w14:paraId="39ED335C">
      <w:pPr>
        <w:pStyle w:val="175"/>
        <w:ind w:firstLine="480"/>
        <w:rPr>
          <w:lang w:val="en-GB"/>
        </w:rPr>
      </w:pPr>
      <w:r>
        <w:rPr>
          <w:rFonts w:hint="eastAsia"/>
          <w:lang w:val="en-GB"/>
        </w:rPr>
        <w:t>操作系统安装服务</w:t>
      </w:r>
    </w:p>
    <w:p w14:paraId="28A7542F">
      <w:pPr>
        <w:pStyle w:val="175"/>
        <w:ind w:firstLine="480"/>
        <w:rPr>
          <w:lang w:val="en-GB"/>
        </w:rPr>
      </w:pPr>
      <w:r>
        <w:rPr>
          <w:rFonts w:hint="eastAsia"/>
          <w:lang w:val="en-GB"/>
        </w:rPr>
        <w:t>数据库安装服务</w:t>
      </w:r>
    </w:p>
    <w:p w14:paraId="4F7FDEEB">
      <w:pPr>
        <w:pStyle w:val="175"/>
        <w:ind w:firstLine="480"/>
        <w:rPr>
          <w:lang w:val="en-GB"/>
        </w:rPr>
      </w:pPr>
      <w:r>
        <w:rPr>
          <w:rFonts w:hint="eastAsia"/>
          <w:lang w:val="en-GB"/>
        </w:rPr>
        <w:t>操作系统群集安装服务</w:t>
      </w:r>
    </w:p>
    <w:p w14:paraId="4BD70EA3">
      <w:pPr>
        <w:pStyle w:val="175"/>
        <w:ind w:firstLine="480"/>
        <w:rPr>
          <w:lang w:val="en-GB"/>
        </w:rPr>
      </w:pPr>
      <w:r>
        <w:rPr>
          <w:rFonts w:hint="eastAsia"/>
          <w:lang w:val="en-GB"/>
        </w:rPr>
        <w:t>Oracle</w:t>
      </w:r>
      <w:r>
        <w:rPr>
          <w:lang w:val="en-GB"/>
        </w:rPr>
        <w:t xml:space="preserve"> RAC高可用性群集安装服务</w:t>
      </w:r>
    </w:p>
    <w:p w14:paraId="3E2F0C62">
      <w:pPr>
        <w:pStyle w:val="175"/>
        <w:ind w:firstLine="480"/>
        <w:rPr>
          <w:lang w:val="en-GB"/>
        </w:rPr>
      </w:pPr>
      <w:r>
        <w:rPr>
          <w:lang w:val="en-GB"/>
        </w:rPr>
        <w:t>操作系统升级服务</w:t>
      </w:r>
    </w:p>
    <w:p w14:paraId="083E8E53">
      <w:pPr>
        <w:pStyle w:val="175"/>
        <w:ind w:firstLine="480"/>
        <w:rPr>
          <w:lang w:val="en-GB"/>
        </w:rPr>
      </w:pPr>
      <w:r>
        <w:rPr>
          <w:rFonts w:hint="eastAsia"/>
          <w:lang w:val="en-GB"/>
        </w:rPr>
        <w:t>数据库升级服务</w:t>
      </w:r>
    </w:p>
    <w:p w14:paraId="4C6F622C">
      <w:pPr>
        <w:pStyle w:val="175"/>
        <w:ind w:firstLine="480"/>
      </w:pPr>
      <w:bookmarkStart w:id="195" w:name="_Toc295981414"/>
      <w:bookmarkStart w:id="196" w:name="_Toc83222010"/>
      <w:bookmarkStart w:id="197" w:name="_Toc295983400"/>
      <w:bookmarkStart w:id="198" w:name="_Toc433119854"/>
      <w:bookmarkStart w:id="199" w:name="_Toc295983401"/>
      <w:bookmarkStart w:id="200" w:name="_Toc83222011"/>
      <w:bookmarkStart w:id="201" w:name="_Toc295981415"/>
      <w:r>
        <w:rPr>
          <w:rFonts w:hint="eastAsia"/>
          <w:lang w:val="en-GB"/>
        </w:rPr>
        <w:t>技能</w:t>
      </w:r>
      <w:bookmarkEnd w:id="195"/>
      <w:bookmarkEnd w:id="196"/>
      <w:bookmarkEnd w:id="197"/>
      <w:r>
        <w:rPr>
          <w:rFonts w:hint="eastAsia"/>
          <w:lang w:val="en-GB"/>
        </w:rPr>
        <w:t>培训</w:t>
      </w:r>
      <w:bookmarkEnd w:id="198"/>
      <w:bookmarkEnd w:id="199"/>
      <w:bookmarkEnd w:id="200"/>
      <w:bookmarkEnd w:id="201"/>
    </w:p>
    <w:bookmarkEnd w:id="125"/>
    <w:bookmarkEnd w:id="126"/>
    <w:p w14:paraId="5D5B6B37">
      <w:pPr>
        <w:pStyle w:val="4"/>
        <w:numPr>
          <w:ilvl w:val="1"/>
          <w:numId w:val="16"/>
        </w:numPr>
      </w:pPr>
      <w:bookmarkStart w:id="202" w:name="_Toc202539070"/>
      <w:bookmarkStart w:id="203" w:name="_Toc121099515"/>
      <w:bookmarkStart w:id="204" w:name="_Toc121099214"/>
      <w:bookmarkStart w:id="205" w:name="_Toc131066816"/>
      <w:bookmarkStart w:id="206" w:name="_Toc130911258"/>
      <w:bookmarkStart w:id="207" w:name="_Toc131287375"/>
      <w:r>
        <w:rPr>
          <w:rFonts w:hint="eastAsia"/>
        </w:rPr>
        <w:t>一体化资源中心</w:t>
      </w:r>
      <w:bookmarkEnd w:id="202"/>
    </w:p>
    <w:p w14:paraId="61C20941">
      <w:pPr>
        <w:pStyle w:val="5"/>
        <w:numPr>
          <w:ilvl w:val="2"/>
          <w:numId w:val="16"/>
        </w:numPr>
      </w:pPr>
      <w:bookmarkStart w:id="208" w:name="_Toc202539071"/>
      <w:r>
        <w:rPr>
          <w:rFonts w:hint="eastAsia"/>
        </w:rPr>
        <w:t>区域影像诊断中心</w:t>
      </w:r>
      <w:bookmarkEnd w:id="208"/>
    </w:p>
    <w:p w14:paraId="6E00FD6F">
      <w:pPr>
        <w:pStyle w:val="3"/>
      </w:pPr>
      <w:r>
        <w:rPr>
          <w:rFonts w:hint="eastAsia"/>
        </w:rPr>
        <w:t>以乌拉特前旗人民医院的PACS系统为主，延伸覆盖基层机构，实现医学影像中心。</w:t>
      </w:r>
    </w:p>
    <w:p w14:paraId="217FE1D5">
      <w:pPr>
        <w:pStyle w:val="6"/>
        <w:numPr>
          <w:ilvl w:val="3"/>
          <w:numId w:val="16"/>
        </w:numPr>
      </w:pPr>
      <w:bookmarkStart w:id="209" w:name="_Toc29349"/>
      <w:bookmarkStart w:id="210" w:name="_Toc11281"/>
      <w:r>
        <w:rPr>
          <w:rFonts w:hint="eastAsia"/>
        </w:rPr>
        <w:t>PACS数据中心</w:t>
      </w:r>
      <w:bookmarkEnd w:id="209"/>
      <w:bookmarkEnd w:id="210"/>
    </w:p>
    <w:p w14:paraId="05E375CF">
      <w:pPr>
        <w:pStyle w:val="7"/>
        <w:numPr>
          <w:ilvl w:val="4"/>
          <w:numId w:val="16"/>
        </w:numPr>
        <w:rPr>
          <w:sz w:val="30"/>
        </w:rPr>
      </w:pPr>
      <w:bookmarkStart w:id="211" w:name="_Toc5315"/>
      <w:bookmarkStart w:id="212" w:name="_Toc15953"/>
      <w:r>
        <w:rPr>
          <w:rFonts w:hint="eastAsia"/>
          <w:sz w:val="30"/>
        </w:rPr>
        <w:t>PACS数据服务</w:t>
      </w:r>
      <w:bookmarkEnd w:id="211"/>
      <w:bookmarkEnd w:id="212"/>
    </w:p>
    <w:p w14:paraId="73CCA6BE">
      <w:pPr>
        <w:pStyle w:val="175"/>
        <w:ind w:firstLine="480"/>
      </w:pPr>
      <w:r>
        <w:rPr>
          <w:rFonts w:hint="eastAsia"/>
        </w:rPr>
        <w:t>1、支持双机、多机集群及VMWARE虚拟化集群的负载均衡、冗余架构。</w:t>
      </w:r>
    </w:p>
    <w:p w14:paraId="294AC1FA">
      <w:pPr>
        <w:pStyle w:val="175"/>
        <w:ind w:firstLine="480"/>
      </w:pPr>
      <w:r>
        <w:rPr>
          <w:rFonts w:hint="eastAsia"/>
        </w:rPr>
        <w:t>服务端采用多线程工作模式，支持大任务量并发请求。</w:t>
      </w:r>
    </w:p>
    <w:p w14:paraId="6D596830">
      <w:pPr>
        <w:pStyle w:val="175"/>
        <w:ind w:firstLine="480"/>
      </w:pPr>
      <w:r>
        <w:rPr>
          <w:rFonts w:hint="eastAsia"/>
        </w:rPr>
        <w:t>2、支持DICOM影像发送的数据。</w:t>
      </w:r>
    </w:p>
    <w:p w14:paraId="504CAD3C">
      <w:pPr>
        <w:pStyle w:val="175"/>
        <w:ind w:firstLine="480"/>
      </w:pPr>
      <w:r>
        <w:rPr>
          <w:rFonts w:hint="eastAsia"/>
        </w:rPr>
        <w:t>3、支持接收非DICOM接口影像设备的数据，经DICOM网关转换过成DICOM格式的影像数据。</w:t>
      </w:r>
    </w:p>
    <w:p w14:paraId="37D16ECF">
      <w:pPr>
        <w:pStyle w:val="175"/>
        <w:ind w:firstLine="480"/>
      </w:pPr>
      <w:r>
        <w:rPr>
          <w:rFonts w:hint="eastAsia"/>
        </w:rPr>
        <w:t>4、支持图像导入/导出功能，支持DICOM3. 0格式、JPEG格式、BMP格式及AVI格式。</w:t>
      </w:r>
    </w:p>
    <w:p w14:paraId="54C7E663">
      <w:pPr>
        <w:pStyle w:val="175"/>
        <w:ind w:firstLine="480"/>
      </w:pPr>
      <w:r>
        <w:rPr>
          <w:rFonts w:hint="eastAsia"/>
        </w:rPr>
        <w:t>5、支持快速调阅：调阅患者在线静态影像数据时间（第一幅任何图像）≤2秒，调阅患者归档静态影像数据时间（第一幅任何图像）≤4秒。</w:t>
      </w:r>
    </w:p>
    <w:p w14:paraId="30025575">
      <w:pPr>
        <w:pStyle w:val="175"/>
        <w:ind w:firstLine="480"/>
      </w:pPr>
      <w:r>
        <w:rPr>
          <w:rFonts w:hint="eastAsia"/>
        </w:rPr>
        <w:t>6、支持系统日志：提供影像数据的各种状态记录日志，查看影像修改、删除、存档、影像调阅、影像传输、影像存储等操作，提供分析工具。</w:t>
      </w:r>
    </w:p>
    <w:p w14:paraId="074D3DC2">
      <w:pPr>
        <w:pStyle w:val="7"/>
        <w:numPr>
          <w:ilvl w:val="4"/>
          <w:numId w:val="16"/>
        </w:numPr>
        <w:rPr>
          <w:sz w:val="30"/>
        </w:rPr>
      </w:pPr>
      <w:bookmarkStart w:id="213" w:name="_Toc21159"/>
      <w:bookmarkStart w:id="214" w:name="_Toc24679"/>
      <w:r>
        <w:rPr>
          <w:rFonts w:hint="eastAsia"/>
          <w:sz w:val="30"/>
        </w:rPr>
        <w:t>PACS DICOM支持</w:t>
      </w:r>
      <w:bookmarkEnd w:id="213"/>
      <w:r>
        <w:rPr>
          <w:rFonts w:hint="eastAsia"/>
          <w:sz w:val="30"/>
        </w:rPr>
        <w:t>服务</w:t>
      </w:r>
      <w:bookmarkEnd w:id="214"/>
    </w:p>
    <w:p w14:paraId="5EBC5A9B">
      <w:pPr>
        <w:ind w:firstLine="420"/>
        <w:rPr>
          <w:rFonts w:ascii="宋体" w:hAnsi="宋体" w:cs="宋体"/>
        </w:rPr>
      </w:pPr>
      <w:r>
        <w:rPr>
          <w:rFonts w:hint="eastAsia" w:ascii="宋体" w:hAnsi="宋体" w:cs="宋体"/>
        </w:rPr>
        <w:t>数据传输和存储格式遵循DICOM3.0标准。DICOM通讯支持如下标准：</w:t>
      </w:r>
    </w:p>
    <w:p w14:paraId="0E98B2CC">
      <w:pPr>
        <w:pStyle w:val="175"/>
        <w:ind w:firstLine="480"/>
      </w:pPr>
      <w:r>
        <w:rPr>
          <w:rFonts w:hint="eastAsia"/>
        </w:rPr>
        <w:t>DICOM Storage SCU/SCP。</w:t>
      </w:r>
    </w:p>
    <w:p w14:paraId="31ACEE7E">
      <w:pPr>
        <w:pStyle w:val="175"/>
        <w:ind w:firstLine="480"/>
      </w:pPr>
      <w:r>
        <w:rPr>
          <w:rFonts w:hint="eastAsia"/>
        </w:rPr>
        <w:t>DICOM Grayscale Presentation State Storage。</w:t>
      </w:r>
    </w:p>
    <w:p w14:paraId="1ED08F4D">
      <w:pPr>
        <w:pStyle w:val="175"/>
        <w:ind w:firstLine="480"/>
      </w:pPr>
      <w:r>
        <w:rPr>
          <w:rFonts w:hint="eastAsia"/>
        </w:rPr>
        <w:t>DICOM Query/retrieve SCP。</w:t>
      </w:r>
    </w:p>
    <w:p w14:paraId="07A8C7F0">
      <w:pPr>
        <w:pStyle w:val="175"/>
        <w:ind w:firstLine="480"/>
      </w:pPr>
      <w:r>
        <w:rPr>
          <w:rFonts w:hint="eastAsia"/>
        </w:rPr>
        <w:t>DICOM Study Content Notification SCP。</w:t>
      </w:r>
    </w:p>
    <w:p w14:paraId="7FD3367B">
      <w:pPr>
        <w:pStyle w:val="175"/>
        <w:ind w:firstLine="480"/>
      </w:pPr>
      <w:r>
        <w:rPr>
          <w:rFonts w:hint="eastAsia"/>
        </w:rPr>
        <w:t>DICOM Patient/Study Management。</w:t>
      </w:r>
    </w:p>
    <w:p w14:paraId="2524BCF5">
      <w:pPr>
        <w:pStyle w:val="175"/>
        <w:ind w:firstLine="480"/>
      </w:pPr>
      <w:r>
        <w:rPr>
          <w:rFonts w:hint="eastAsia"/>
        </w:rPr>
        <w:t>DICOM压缩（存储/调用DICOM JPEG有损/无损压缩图像）。</w:t>
      </w:r>
    </w:p>
    <w:p w14:paraId="55317F36">
      <w:pPr>
        <w:pStyle w:val="175"/>
        <w:ind w:firstLine="480"/>
      </w:pPr>
      <w:r>
        <w:rPr>
          <w:rFonts w:hint="eastAsia"/>
        </w:rPr>
        <w:t>支持DICOM JPEG2000压缩标准。</w:t>
      </w:r>
    </w:p>
    <w:p w14:paraId="78A6B5DA">
      <w:pPr>
        <w:pStyle w:val="175"/>
        <w:ind w:firstLine="480"/>
      </w:pPr>
      <w:r>
        <w:rPr>
          <w:rFonts w:hint="eastAsia"/>
        </w:rPr>
        <w:t>支持DICOM数据类：CT、MR、CR、DX、RF、MG、XA、US、ET、PT、SC等。</w:t>
      </w:r>
    </w:p>
    <w:p w14:paraId="7FD179B8">
      <w:pPr>
        <w:pStyle w:val="175"/>
        <w:ind w:firstLine="480"/>
      </w:pPr>
      <w:r>
        <w:rPr>
          <w:rFonts w:hint="eastAsia"/>
        </w:rPr>
        <w:t>支持血管造影动态Multi-Frame播放。</w:t>
      </w:r>
    </w:p>
    <w:p w14:paraId="1C42A855">
      <w:pPr>
        <w:pStyle w:val="175"/>
        <w:ind w:firstLine="480"/>
      </w:pPr>
      <w:r>
        <w:rPr>
          <w:rFonts w:hint="eastAsia"/>
        </w:rPr>
        <w:t>支持Modality Worklist SOP。</w:t>
      </w:r>
    </w:p>
    <w:p w14:paraId="72ACAEAA">
      <w:pPr>
        <w:pStyle w:val="175"/>
        <w:ind w:firstLine="480"/>
      </w:pPr>
      <w:r>
        <w:rPr>
          <w:rFonts w:hint="eastAsia"/>
        </w:rPr>
        <w:t>支持MPPS(Modality Performed Procedure Step)。</w:t>
      </w:r>
    </w:p>
    <w:p w14:paraId="5EFE206E">
      <w:pPr>
        <w:pStyle w:val="175"/>
        <w:ind w:firstLine="480"/>
      </w:pPr>
      <w:r>
        <w:rPr>
          <w:rFonts w:hint="eastAsia"/>
        </w:rPr>
        <w:t>支持图像以DICOM格式导入/导出。</w:t>
      </w:r>
    </w:p>
    <w:p w14:paraId="279462D9">
      <w:pPr>
        <w:pStyle w:val="175"/>
        <w:ind w:firstLine="480"/>
      </w:pPr>
      <w:r>
        <w:rPr>
          <w:rFonts w:hint="eastAsia"/>
        </w:rPr>
        <w:t>支持挂片协议(DICOM Hanging Protocol)。</w:t>
      </w:r>
    </w:p>
    <w:p w14:paraId="5B96256C">
      <w:pPr>
        <w:pStyle w:val="175"/>
        <w:ind w:firstLine="480"/>
      </w:pPr>
      <w:r>
        <w:rPr>
          <w:rFonts w:hint="eastAsia"/>
        </w:rPr>
        <w:t>支持Dicom打印服务(可接受设备打印请求， Windows打印机)。</w:t>
      </w:r>
    </w:p>
    <w:p w14:paraId="04FD1D51">
      <w:pPr>
        <w:pStyle w:val="175"/>
        <w:ind w:firstLine="480"/>
      </w:pPr>
      <w:r>
        <w:rPr>
          <w:rFonts w:hint="eastAsia"/>
        </w:rPr>
        <w:t>支持中文工作列表（ISO 2022 GBK，GB18030，ISO_IR 100等）。</w:t>
      </w:r>
    </w:p>
    <w:p w14:paraId="59141530">
      <w:pPr>
        <w:pStyle w:val="175"/>
        <w:ind w:firstLine="480"/>
      </w:pPr>
      <w:r>
        <w:rPr>
          <w:rFonts w:hint="eastAsia"/>
        </w:rPr>
        <w:t>支持Scheduled Procedure Step Code。</w:t>
      </w:r>
    </w:p>
    <w:p w14:paraId="5F909BEA">
      <w:pPr>
        <w:pStyle w:val="175"/>
        <w:ind w:firstLine="480"/>
      </w:pPr>
      <w:r>
        <w:rPr>
          <w:rFonts w:hint="eastAsia"/>
        </w:rPr>
        <w:t>支持DICOM Gateway服务：能够进行图像自动路由功能；在传送失败时，自动重新传送并在数据库中予以记录。</w:t>
      </w:r>
    </w:p>
    <w:p w14:paraId="6CAD72B1">
      <w:pPr>
        <w:pStyle w:val="175"/>
        <w:ind w:firstLine="480"/>
      </w:pPr>
      <w:r>
        <w:rPr>
          <w:rFonts w:hint="eastAsia"/>
        </w:rPr>
        <w:t>支持DICOM3. 0格式、JPEG格式、BMP格式及AVI格式；支持PACS影像及文字报告的导出。</w:t>
      </w:r>
    </w:p>
    <w:p w14:paraId="0F7C125F">
      <w:pPr>
        <w:pStyle w:val="7"/>
        <w:numPr>
          <w:ilvl w:val="4"/>
          <w:numId w:val="16"/>
        </w:numPr>
        <w:rPr>
          <w:sz w:val="30"/>
        </w:rPr>
      </w:pPr>
      <w:bookmarkStart w:id="215" w:name="_Toc13939"/>
      <w:bookmarkStart w:id="216" w:name="_Toc19026"/>
      <w:r>
        <w:rPr>
          <w:rFonts w:hint="eastAsia"/>
          <w:sz w:val="30"/>
        </w:rPr>
        <w:t>PACS影像存储管理</w:t>
      </w:r>
      <w:bookmarkEnd w:id="215"/>
      <w:r>
        <w:rPr>
          <w:rFonts w:hint="eastAsia"/>
          <w:sz w:val="30"/>
        </w:rPr>
        <w:t>服务</w:t>
      </w:r>
      <w:bookmarkEnd w:id="216"/>
    </w:p>
    <w:p w14:paraId="6FA9CB4E">
      <w:pPr>
        <w:pStyle w:val="175"/>
        <w:ind w:firstLine="480"/>
      </w:pPr>
      <w:r>
        <w:rPr>
          <w:rFonts w:hint="eastAsia"/>
        </w:rPr>
        <w:t>支持分级存储配置，影像调阅机制管理。支持多种存储介质， DAS、SAN、NAS、CAS等各种存储技术，支持在线、近线、离线数据的统一管理。</w:t>
      </w:r>
    </w:p>
    <w:p w14:paraId="041F8BA2">
      <w:pPr>
        <w:pStyle w:val="175"/>
        <w:ind w:firstLine="480"/>
      </w:pPr>
      <w:r>
        <w:rPr>
          <w:rFonts w:hint="eastAsia"/>
        </w:rPr>
        <w:t>支持提供DICOM影像数据的存储和归档（DICOM Storage SCP/SCU）。</w:t>
      </w:r>
    </w:p>
    <w:p w14:paraId="68B3AECF">
      <w:pPr>
        <w:pStyle w:val="175"/>
        <w:ind w:firstLine="480"/>
      </w:pPr>
      <w:r>
        <w:rPr>
          <w:rFonts w:hint="eastAsia"/>
        </w:rPr>
        <w:t>支持提供多种数据存储软件，包括硬盘冗余阵列（RAID）、存储局域网络（Storage Area Network-SAN）、网络存储（Network Attached Storage-NAS）等软件。</w:t>
      </w:r>
    </w:p>
    <w:p w14:paraId="04622E29">
      <w:pPr>
        <w:pStyle w:val="175"/>
        <w:ind w:firstLine="480"/>
      </w:pPr>
      <w:r>
        <w:rPr>
          <w:rFonts w:hint="eastAsia"/>
        </w:rPr>
        <w:t>系统对于产生的影像可实现实时归档，影像数据统一管理。</w:t>
      </w:r>
    </w:p>
    <w:p w14:paraId="7F940F77">
      <w:pPr>
        <w:pStyle w:val="175"/>
        <w:ind w:firstLine="480"/>
      </w:pPr>
      <w:r>
        <w:rPr>
          <w:rFonts w:hint="eastAsia"/>
        </w:rPr>
        <w:t>支持常用的DICOM工具和管理工具，如DICOM导入工具（将符合DICOM标准的图像导入到系统）；DICOM图像导出工具（将系统内图像导出成符合DICOM标准格式的图像文件）；</w:t>
      </w:r>
    </w:p>
    <w:p w14:paraId="6B9921B9">
      <w:pPr>
        <w:pStyle w:val="7"/>
        <w:numPr>
          <w:ilvl w:val="4"/>
          <w:numId w:val="16"/>
        </w:numPr>
        <w:rPr>
          <w:sz w:val="30"/>
        </w:rPr>
      </w:pPr>
      <w:bookmarkStart w:id="217" w:name="_Toc21522"/>
      <w:bookmarkStart w:id="218" w:name="_Toc19454"/>
      <w:r>
        <w:rPr>
          <w:rFonts w:hint="eastAsia"/>
          <w:sz w:val="30"/>
        </w:rPr>
        <w:t>多院区管理</w:t>
      </w:r>
      <w:bookmarkEnd w:id="217"/>
      <w:bookmarkEnd w:id="218"/>
    </w:p>
    <w:p w14:paraId="2A5D62AD">
      <w:pPr>
        <w:pStyle w:val="3"/>
      </w:pPr>
      <w:r>
        <w:rPr>
          <w:rFonts w:hint="eastAsia" w:asciiTheme="minorEastAsia" w:hAnsiTheme="minorEastAsia" w:eastAsiaTheme="minorEastAsia"/>
        </w:rPr>
        <w:t>支持</w:t>
      </w:r>
      <w:r>
        <w:rPr>
          <w:rFonts w:hint="eastAsia"/>
        </w:rPr>
        <w:t>可通针对医院编码区分多院区检查信息，在各个院区按需设置前置服务器、管理前置服务器与中心数据服务器的连接。</w:t>
      </w:r>
    </w:p>
    <w:p w14:paraId="34464CEA">
      <w:pPr>
        <w:pStyle w:val="6"/>
        <w:numPr>
          <w:ilvl w:val="3"/>
          <w:numId w:val="16"/>
        </w:numPr>
      </w:pPr>
      <w:bookmarkStart w:id="219" w:name="_Toc14560"/>
      <w:r>
        <w:rPr>
          <w:rFonts w:hint="eastAsia"/>
        </w:rPr>
        <w:t>放射RIS信息系统</w:t>
      </w:r>
      <w:bookmarkEnd w:id="219"/>
    </w:p>
    <w:p w14:paraId="1EBAF04E">
      <w:pPr>
        <w:pStyle w:val="7"/>
        <w:numPr>
          <w:ilvl w:val="4"/>
          <w:numId w:val="16"/>
        </w:numPr>
      </w:pPr>
      <w:bookmarkStart w:id="220" w:name="_Toc19450"/>
      <w:bookmarkStart w:id="221" w:name="_Toc15846"/>
      <w:r>
        <w:rPr>
          <w:rFonts w:hint="eastAsia"/>
        </w:rPr>
        <w:t>登记工作站</w:t>
      </w:r>
      <w:bookmarkEnd w:id="220"/>
      <w:bookmarkEnd w:id="221"/>
    </w:p>
    <w:p w14:paraId="05E82EA5">
      <w:pPr>
        <w:pStyle w:val="8"/>
        <w:numPr>
          <w:ilvl w:val="5"/>
          <w:numId w:val="16"/>
        </w:numPr>
        <w:rPr>
          <w:rFonts w:eastAsia="宋体"/>
        </w:rPr>
      </w:pPr>
      <w:r>
        <w:rPr>
          <w:rFonts w:hint="eastAsia" w:eastAsia="宋体"/>
        </w:rPr>
        <w:t>RIS登记管理</w:t>
      </w:r>
    </w:p>
    <w:p w14:paraId="43147B08">
      <w:pPr>
        <w:pStyle w:val="175"/>
        <w:ind w:firstLine="480"/>
      </w:pPr>
      <w:r>
        <w:rPr>
          <w:rFonts w:hint="eastAsia"/>
        </w:rPr>
        <w:t>支持纸质申请单的扫描管理</w:t>
      </w:r>
    </w:p>
    <w:p w14:paraId="29381830">
      <w:pPr>
        <w:pStyle w:val="175"/>
        <w:ind w:firstLine="480"/>
      </w:pPr>
      <w:r>
        <w:rPr>
          <w:rFonts w:hint="eastAsia"/>
        </w:rPr>
        <w:t>支持电子申请单的存档管理</w:t>
      </w:r>
    </w:p>
    <w:p w14:paraId="042D4203">
      <w:pPr>
        <w:pStyle w:val="175"/>
        <w:ind w:firstLine="480"/>
      </w:pPr>
      <w:r>
        <w:rPr>
          <w:rFonts w:hint="eastAsia"/>
        </w:rPr>
        <w:t>支持登记病人信息，包括姓名、性别、民族、年龄、住址、收费类别、联系电话、检查日期、 检查部位、简单病史等基本信息。</w:t>
      </w:r>
    </w:p>
    <w:p w14:paraId="4E41FAF8">
      <w:pPr>
        <w:pStyle w:val="175"/>
        <w:ind w:firstLine="480"/>
      </w:pPr>
      <w:r>
        <w:rPr>
          <w:rFonts w:hint="eastAsia"/>
        </w:rPr>
        <w:t>支持登记关键字后自动联想历史检查，历史检查信息快速调用登记</w:t>
      </w:r>
    </w:p>
    <w:p w14:paraId="4EB6A514">
      <w:pPr>
        <w:pStyle w:val="175"/>
        <w:ind w:firstLine="480"/>
      </w:pPr>
      <w:r>
        <w:rPr>
          <w:rFonts w:hint="eastAsia"/>
        </w:rPr>
        <w:t>支持全键盘快速登记</w:t>
      </w:r>
    </w:p>
    <w:p w14:paraId="59ABC428">
      <w:pPr>
        <w:pStyle w:val="175"/>
        <w:ind w:firstLine="480"/>
      </w:pPr>
      <w:r>
        <w:rPr>
          <w:rFonts w:hint="eastAsia"/>
        </w:rPr>
        <w:t>支持检查登记选择预约时间</w:t>
      </w:r>
    </w:p>
    <w:p w14:paraId="2BBBB354">
      <w:pPr>
        <w:pStyle w:val="175"/>
        <w:ind w:firstLine="480"/>
      </w:pPr>
      <w:r>
        <w:rPr>
          <w:rFonts w:hint="eastAsia"/>
        </w:rPr>
        <w:t>支持保存登记信息时弹框显示影像号与排队号，同时一键打印条码或者预约单</w:t>
      </w:r>
    </w:p>
    <w:p w14:paraId="09058D68">
      <w:pPr>
        <w:pStyle w:val="175"/>
        <w:ind w:firstLine="480"/>
      </w:pPr>
      <w:r>
        <w:rPr>
          <w:rFonts w:hint="eastAsia"/>
        </w:rPr>
        <w:t>在HIS/体检等第三方系统配合开发的情况下，支持直接通过HIS或第三方接口快速刷卡登记</w:t>
      </w:r>
    </w:p>
    <w:p w14:paraId="570CF171">
      <w:pPr>
        <w:pStyle w:val="175"/>
        <w:ind w:firstLine="480"/>
      </w:pPr>
      <w:r>
        <w:rPr>
          <w:rFonts w:hint="eastAsia"/>
        </w:rPr>
        <w:t>支持自动合并同一病人的多条医嘱数据，自动计算费用单据</w:t>
      </w:r>
    </w:p>
    <w:p w14:paraId="597253CF">
      <w:pPr>
        <w:pStyle w:val="175"/>
        <w:ind w:firstLine="480"/>
      </w:pPr>
      <w:r>
        <w:rPr>
          <w:rFonts w:hint="eastAsia"/>
        </w:rPr>
        <w:t>支持用户偏好设置</w:t>
      </w:r>
    </w:p>
    <w:p w14:paraId="31ECFC00">
      <w:pPr>
        <w:pStyle w:val="175"/>
        <w:ind w:firstLine="480"/>
      </w:pPr>
      <w:r>
        <w:rPr>
          <w:rFonts w:hint="eastAsia"/>
        </w:rPr>
        <w:t>支持新建病人检查信息默认规则设置</w:t>
      </w:r>
    </w:p>
    <w:p w14:paraId="6ADEE78F">
      <w:pPr>
        <w:pStyle w:val="175"/>
        <w:ind w:firstLine="480"/>
      </w:pPr>
      <w:r>
        <w:rPr>
          <w:rFonts w:hint="eastAsia"/>
        </w:rPr>
        <w:t>支持鼠标键盘静止超过设定时间自动锁定或者手动锁定用户</w:t>
      </w:r>
    </w:p>
    <w:p w14:paraId="11D74B4D">
      <w:pPr>
        <w:pStyle w:val="175"/>
        <w:ind w:firstLine="480"/>
      </w:pPr>
      <w:r>
        <w:rPr>
          <w:rFonts w:hint="eastAsia"/>
        </w:rPr>
        <w:t>支持登记病人信息可以选择是否在叫号大屏显示</w:t>
      </w:r>
    </w:p>
    <w:p w14:paraId="6CB62516">
      <w:pPr>
        <w:pStyle w:val="175"/>
        <w:ind w:firstLine="480"/>
      </w:pPr>
      <w:r>
        <w:rPr>
          <w:rFonts w:hint="eastAsia"/>
        </w:rPr>
        <w:t>支持患者信息再次登记，保留同一病人信息</w:t>
      </w:r>
    </w:p>
    <w:p w14:paraId="55992E0A">
      <w:pPr>
        <w:pStyle w:val="175"/>
        <w:ind w:firstLine="480"/>
      </w:pPr>
      <w:r>
        <w:rPr>
          <w:rFonts w:hint="eastAsia"/>
        </w:rPr>
        <w:t>支持绿色通道和急诊患者快速登记</w:t>
      </w:r>
    </w:p>
    <w:p w14:paraId="09437FB3">
      <w:pPr>
        <w:pStyle w:val="175"/>
        <w:ind w:firstLine="480"/>
      </w:pPr>
      <w:r>
        <w:rPr>
          <w:rFonts w:hint="eastAsia"/>
        </w:rPr>
        <w:t>支持同一患者多部位拆分登记，一次登记多条记录</w:t>
      </w:r>
    </w:p>
    <w:p w14:paraId="54835C1E">
      <w:pPr>
        <w:pStyle w:val="175"/>
        <w:ind w:firstLine="480"/>
      </w:pPr>
      <w:r>
        <w:rPr>
          <w:rFonts w:hint="eastAsia"/>
        </w:rPr>
        <w:t>支持登记患者信息时选择上下午，合理规划患者就诊时间</w:t>
      </w:r>
    </w:p>
    <w:p w14:paraId="7B999273">
      <w:pPr>
        <w:pStyle w:val="8"/>
        <w:numPr>
          <w:ilvl w:val="5"/>
          <w:numId w:val="16"/>
        </w:numPr>
        <w:rPr>
          <w:rFonts w:eastAsia="宋体"/>
        </w:rPr>
      </w:pPr>
      <w:r>
        <w:rPr>
          <w:rFonts w:hint="eastAsia" w:eastAsia="宋体"/>
        </w:rPr>
        <w:t>WorkList检查列表</w:t>
      </w:r>
    </w:p>
    <w:p w14:paraId="7A633652">
      <w:pPr>
        <w:pStyle w:val="3"/>
      </w:pPr>
      <w:r>
        <w:rPr>
          <w:rFonts w:hint="eastAsia" w:asciiTheme="minorEastAsia" w:hAnsiTheme="minorEastAsia" w:eastAsiaTheme="minorEastAsia"/>
        </w:rPr>
        <w:t>具备支持以下功能：</w:t>
      </w:r>
    </w:p>
    <w:p w14:paraId="78A5C29C">
      <w:pPr>
        <w:pStyle w:val="175"/>
        <w:ind w:firstLine="480"/>
      </w:pPr>
      <w:r>
        <w:rPr>
          <w:rFonts w:hint="eastAsia"/>
        </w:rPr>
        <w:t>支持通过worklist协议把患者信息数据传输到对应的设备上</w:t>
      </w:r>
    </w:p>
    <w:p w14:paraId="75B13F5A">
      <w:pPr>
        <w:pStyle w:val="175"/>
        <w:ind w:firstLine="480"/>
      </w:pPr>
      <w:r>
        <w:rPr>
          <w:rFonts w:hint="eastAsia"/>
        </w:rPr>
        <w:t>支持完整的worklist工作清单</w:t>
      </w:r>
    </w:p>
    <w:p w14:paraId="0423D884">
      <w:pPr>
        <w:pStyle w:val="175"/>
        <w:ind w:firstLine="480"/>
      </w:pPr>
      <w:r>
        <w:rPr>
          <w:rFonts w:hint="eastAsia"/>
        </w:rPr>
        <w:t>支持worklist生成日志及查看</w:t>
      </w:r>
    </w:p>
    <w:p w14:paraId="7D949681">
      <w:pPr>
        <w:pStyle w:val="7"/>
        <w:numPr>
          <w:ilvl w:val="4"/>
          <w:numId w:val="16"/>
        </w:numPr>
      </w:pPr>
      <w:bookmarkStart w:id="222" w:name="_Toc14106"/>
      <w:bookmarkStart w:id="223" w:name="_Toc10315"/>
      <w:r>
        <w:rPr>
          <w:rFonts w:hint="eastAsia"/>
        </w:rPr>
        <w:t>技师工作站</w:t>
      </w:r>
      <w:bookmarkEnd w:id="222"/>
      <w:bookmarkEnd w:id="223"/>
    </w:p>
    <w:p w14:paraId="6FB4B308">
      <w:pPr>
        <w:pStyle w:val="8"/>
        <w:numPr>
          <w:ilvl w:val="5"/>
          <w:numId w:val="16"/>
        </w:numPr>
      </w:pPr>
      <w:r>
        <w:rPr>
          <w:rFonts w:hint="eastAsia"/>
        </w:rPr>
        <w:t>诊室叫号</w:t>
      </w:r>
    </w:p>
    <w:p w14:paraId="70F221E0">
      <w:pPr>
        <w:pStyle w:val="175"/>
        <w:ind w:firstLine="480"/>
      </w:pPr>
      <w:r>
        <w:rPr>
          <w:rFonts w:hint="eastAsia"/>
        </w:rPr>
        <w:t>支持对待检查患者的呼叫、重呼、挂起等基本操作</w:t>
      </w:r>
    </w:p>
    <w:p w14:paraId="2B0D5823">
      <w:pPr>
        <w:pStyle w:val="175"/>
        <w:ind w:firstLine="480"/>
      </w:pPr>
      <w:r>
        <w:rPr>
          <w:rFonts w:hint="eastAsia"/>
        </w:rPr>
        <w:t>支持在技师工作站对检查人数、未检查人数的实时统计</w:t>
      </w:r>
    </w:p>
    <w:p w14:paraId="580D6EFB">
      <w:pPr>
        <w:pStyle w:val="175"/>
        <w:ind w:firstLine="480"/>
      </w:pPr>
      <w:r>
        <w:rPr>
          <w:rFonts w:hint="eastAsia"/>
        </w:rPr>
        <w:t>支持病人申请单查看</w:t>
      </w:r>
    </w:p>
    <w:p w14:paraId="353CEC34">
      <w:pPr>
        <w:pStyle w:val="175"/>
        <w:ind w:firstLine="480"/>
      </w:pPr>
      <w:r>
        <w:rPr>
          <w:rFonts w:hint="eastAsia"/>
        </w:rPr>
        <w:t>支持急诊和绿色通道患者突出显示</w:t>
      </w:r>
    </w:p>
    <w:p w14:paraId="09A50262">
      <w:pPr>
        <w:pStyle w:val="175"/>
        <w:ind w:firstLine="480"/>
      </w:pPr>
      <w:r>
        <w:rPr>
          <w:rFonts w:hint="eastAsia"/>
        </w:rPr>
        <w:t>支持根据登记顺序呼叫病人到当前诊室检查</w:t>
      </w:r>
    </w:p>
    <w:p w14:paraId="6FA61285">
      <w:pPr>
        <w:pStyle w:val="175"/>
        <w:ind w:firstLine="480"/>
      </w:pPr>
      <w:r>
        <w:rPr>
          <w:rFonts w:hint="eastAsia"/>
        </w:rPr>
        <w:t>支持手动调整候诊队列顺序</w:t>
      </w:r>
    </w:p>
    <w:p w14:paraId="4B531F48">
      <w:pPr>
        <w:pStyle w:val="175"/>
        <w:ind w:firstLine="480"/>
      </w:pPr>
      <w:r>
        <w:rPr>
          <w:rFonts w:hint="eastAsia"/>
        </w:rPr>
        <w:t>支持过号病人重新设置排队候诊</w:t>
      </w:r>
    </w:p>
    <w:p w14:paraId="5DC175CB">
      <w:pPr>
        <w:pStyle w:val="175"/>
        <w:ind w:firstLine="480"/>
      </w:pPr>
      <w:r>
        <w:rPr>
          <w:rFonts w:hint="eastAsia"/>
        </w:rPr>
        <w:t>支持叫号自动关联技师工作量</w:t>
      </w:r>
    </w:p>
    <w:p w14:paraId="0BEB58E9">
      <w:pPr>
        <w:pStyle w:val="175"/>
        <w:ind w:firstLine="480"/>
      </w:pPr>
      <w:r>
        <w:rPr>
          <w:rFonts w:hint="eastAsia"/>
        </w:rPr>
        <w:t>支持转诊功能</w:t>
      </w:r>
    </w:p>
    <w:p w14:paraId="5216A00F">
      <w:pPr>
        <w:pStyle w:val="175"/>
        <w:ind w:firstLine="480"/>
      </w:pPr>
      <w:r>
        <w:rPr>
          <w:rFonts w:hint="eastAsia"/>
        </w:rPr>
        <w:t>支持在技师工作站重新检查</w:t>
      </w:r>
    </w:p>
    <w:p w14:paraId="3F12D1C5">
      <w:pPr>
        <w:pStyle w:val="175"/>
        <w:ind w:firstLine="480"/>
      </w:pPr>
      <w:r>
        <w:rPr>
          <w:rFonts w:hint="eastAsia"/>
        </w:rPr>
        <w:t>支持在一个技师工作站控制多个队列</w:t>
      </w:r>
    </w:p>
    <w:p w14:paraId="63C5464D">
      <w:pPr>
        <w:pStyle w:val="8"/>
        <w:numPr>
          <w:ilvl w:val="5"/>
          <w:numId w:val="16"/>
        </w:numPr>
      </w:pPr>
      <w:r>
        <w:rPr>
          <w:rFonts w:hint="eastAsia"/>
        </w:rPr>
        <w:t>病人检查管理</w:t>
      </w:r>
    </w:p>
    <w:p w14:paraId="0B55E3EA">
      <w:pPr>
        <w:pStyle w:val="175"/>
        <w:ind w:firstLine="480"/>
      </w:pPr>
      <w:r>
        <w:rPr>
          <w:rFonts w:hint="eastAsia"/>
        </w:rPr>
        <w:t>支持病人列表检索查询</w:t>
      </w:r>
    </w:p>
    <w:p w14:paraId="60DA55B1">
      <w:pPr>
        <w:pStyle w:val="175"/>
        <w:ind w:firstLine="480"/>
      </w:pPr>
      <w:r>
        <w:rPr>
          <w:rFonts w:hint="eastAsia"/>
        </w:rPr>
        <w:t>支持病人检查信息查看</w:t>
      </w:r>
    </w:p>
    <w:p w14:paraId="5B221B2A">
      <w:pPr>
        <w:pStyle w:val="175"/>
        <w:ind w:firstLine="480"/>
      </w:pPr>
      <w:r>
        <w:rPr>
          <w:rFonts w:hint="eastAsia"/>
        </w:rPr>
        <w:t>支持检查报告预览</w:t>
      </w:r>
    </w:p>
    <w:p w14:paraId="3BB0C781">
      <w:pPr>
        <w:pStyle w:val="175"/>
        <w:ind w:firstLine="480"/>
      </w:pPr>
      <w:r>
        <w:rPr>
          <w:rFonts w:hint="eastAsia"/>
        </w:rPr>
        <w:t>支持病人申请单查看</w:t>
      </w:r>
    </w:p>
    <w:p w14:paraId="19255FBD">
      <w:pPr>
        <w:pStyle w:val="175"/>
        <w:ind w:firstLine="480"/>
      </w:pPr>
      <w:r>
        <w:rPr>
          <w:rFonts w:hint="eastAsia"/>
        </w:rPr>
        <w:t>支持诊室列表查询</w:t>
      </w:r>
    </w:p>
    <w:p w14:paraId="098320D6">
      <w:pPr>
        <w:pStyle w:val="175"/>
        <w:ind w:firstLine="480"/>
      </w:pPr>
      <w:r>
        <w:rPr>
          <w:rFonts w:hint="eastAsia"/>
        </w:rPr>
        <w:t>支持急诊和绿色通道患者突出显示</w:t>
      </w:r>
    </w:p>
    <w:p w14:paraId="3AFE592A">
      <w:pPr>
        <w:pStyle w:val="175"/>
        <w:ind w:firstLine="480"/>
      </w:pPr>
      <w:r>
        <w:rPr>
          <w:rFonts w:hint="eastAsia"/>
        </w:rPr>
        <w:t>支持根据登记顺序呼叫病人到当前诊室检查</w:t>
      </w:r>
    </w:p>
    <w:p w14:paraId="32093C19">
      <w:pPr>
        <w:pStyle w:val="175"/>
        <w:ind w:firstLine="480"/>
      </w:pPr>
      <w:r>
        <w:rPr>
          <w:rFonts w:hint="eastAsia"/>
        </w:rPr>
        <w:t>支持手动调整候诊队列顺序</w:t>
      </w:r>
    </w:p>
    <w:p w14:paraId="2A49E5D3">
      <w:pPr>
        <w:pStyle w:val="175"/>
        <w:ind w:firstLine="480"/>
      </w:pPr>
      <w:r>
        <w:rPr>
          <w:rFonts w:hint="eastAsia"/>
        </w:rPr>
        <w:t>支持病人排队状态挂起</w:t>
      </w:r>
    </w:p>
    <w:p w14:paraId="1D9E82AC">
      <w:pPr>
        <w:pStyle w:val="175"/>
        <w:ind w:firstLine="480"/>
      </w:pPr>
      <w:r>
        <w:rPr>
          <w:rFonts w:hint="eastAsia"/>
        </w:rPr>
        <w:t>支持过号病人重新设置排队候诊</w:t>
      </w:r>
    </w:p>
    <w:p w14:paraId="15572CAE">
      <w:pPr>
        <w:pStyle w:val="175"/>
        <w:ind w:firstLine="480"/>
      </w:pPr>
      <w:r>
        <w:rPr>
          <w:rFonts w:hint="eastAsia"/>
        </w:rPr>
        <w:t>支持叫号自动关联技师工作量</w:t>
      </w:r>
    </w:p>
    <w:p w14:paraId="70A7BC34">
      <w:pPr>
        <w:pStyle w:val="175"/>
        <w:ind w:firstLine="480"/>
      </w:pPr>
      <w:r>
        <w:rPr>
          <w:rFonts w:hint="eastAsia"/>
        </w:rPr>
        <w:t>支持对序列图像进行负责、剪切、粘贴、删除的功能</w:t>
      </w:r>
    </w:p>
    <w:p w14:paraId="3778A8DB">
      <w:pPr>
        <w:pStyle w:val="7"/>
        <w:numPr>
          <w:ilvl w:val="4"/>
          <w:numId w:val="16"/>
        </w:numPr>
      </w:pPr>
      <w:bookmarkStart w:id="224" w:name="_Toc29325"/>
      <w:bookmarkStart w:id="225" w:name="_Toc13152"/>
      <w:r>
        <w:rPr>
          <w:rFonts w:hint="eastAsia"/>
        </w:rPr>
        <w:t>报告工作站</w:t>
      </w:r>
      <w:bookmarkEnd w:id="224"/>
      <w:bookmarkEnd w:id="225"/>
    </w:p>
    <w:p w14:paraId="1ADDC13D">
      <w:pPr>
        <w:pStyle w:val="8"/>
        <w:numPr>
          <w:ilvl w:val="5"/>
          <w:numId w:val="16"/>
        </w:numPr>
      </w:pPr>
      <w:r>
        <w:rPr>
          <w:rFonts w:hint="eastAsia"/>
        </w:rPr>
        <w:t>DICOM图像浏览</w:t>
      </w:r>
    </w:p>
    <w:p w14:paraId="57BC4AFB">
      <w:pPr>
        <w:pStyle w:val="175"/>
        <w:ind w:firstLine="482"/>
        <w:rPr>
          <w:rFonts w:ascii="宋体" w:hAnsi="宋体" w:cs="宋体"/>
          <w:b/>
          <w:bCs/>
        </w:rPr>
      </w:pPr>
      <w:r>
        <w:rPr>
          <w:rFonts w:hint="eastAsia" w:ascii="宋体" w:hAnsi="宋体" w:cs="宋体"/>
          <w:b/>
          <w:bCs/>
        </w:rPr>
        <w:t>图像展示，</w:t>
      </w:r>
      <w:r>
        <w:rPr>
          <w:rFonts w:hint="eastAsia"/>
        </w:rPr>
        <w:t>支持以下功能：</w:t>
      </w:r>
    </w:p>
    <w:p w14:paraId="56B92B1D">
      <w:pPr>
        <w:pStyle w:val="175"/>
        <w:ind w:firstLine="480"/>
        <w:rPr>
          <w:rFonts w:ascii="宋体" w:hAnsi="宋体" w:cs="宋体"/>
        </w:rPr>
      </w:pPr>
      <w:r>
        <w:rPr>
          <w:rFonts w:hint="eastAsia" w:ascii="宋体" w:hAnsi="宋体" w:cs="宋体"/>
        </w:rPr>
        <w:t>支持多种分屏挂片模式</w:t>
      </w:r>
    </w:p>
    <w:p w14:paraId="50F0E151">
      <w:pPr>
        <w:pStyle w:val="175"/>
        <w:ind w:firstLine="480"/>
        <w:rPr>
          <w:rFonts w:ascii="宋体" w:hAnsi="宋体" w:cs="宋体"/>
        </w:rPr>
      </w:pPr>
      <w:r>
        <w:rPr>
          <w:rFonts w:hint="eastAsia" w:ascii="宋体" w:hAnsi="宋体" w:cs="宋体"/>
        </w:rPr>
        <w:t>支持患者影像多序列展示</w:t>
      </w:r>
    </w:p>
    <w:p w14:paraId="58FED76E">
      <w:pPr>
        <w:pStyle w:val="175"/>
        <w:ind w:firstLine="480"/>
        <w:rPr>
          <w:rFonts w:ascii="宋体" w:hAnsi="宋体" w:cs="宋体"/>
        </w:rPr>
      </w:pPr>
      <w:r>
        <w:rPr>
          <w:rFonts w:hint="eastAsia" w:ascii="宋体" w:hAnsi="宋体" w:cs="宋体"/>
        </w:rPr>
        <w:t>支持窗宽、窗位调整，支持热键调窗</w:t>
      </w:r>
    </w:p>
    <w:p w14:paraId="144D312A">
      <w:pPr>
        <w:pStyle w:val="175"/>
        <w:ind w:firstLine="480"/>
        <w:rPr>
          <w:rFonts w:ascii="宋体" w:hAnsi="宋体" w:cs="宋体"/>
        </w:rPr>
      </w:pPr>
      <w:r>
        <w:rPr>
          <w:rFonts w:hint="eastAsia" w:ascii="宋体" w:hAnsi="宋体" w:cs="宋体"/>
        </w:rPr>
        <w:t>支持规则或不规则的序列布局查看、支持序列内布局查看</w:t>
      </w:r>
    </w:p>
    <w:p w14:paraId="60849F5F">
      <w:pPr>
        <w:pStyle w:val="175"/>
        <w:ind w:firstLine="480"/>
        <w:rPr>
          <w:rFonts w:ascii="宋体" w:hAnsi="宋体" w:cs="宋体"/>
        </w:rPr>
      </w:pPr>
      <w:r>
        <w:rPr>
          <w:rFonts w:hint="eastAsia" w:ascii="宋体" w:hAnsi="宋体" w:cs="宋体"/>
        </w:rPr>
        <w:t>支持序列缩略图位置调整</w:t>
      </w:r>
    </w:p>
    <w:p w14:paraId="13F2CCB2">
      <w:pPr>
        <w:pStyle w:val="175"/>
        <w:ind w:firstLine="480"/>
        <w:rPr>
          <w:rFonts w:ascii="宋体" w:hAnsi="宋体" w:cs="宋体"/>
        </w:rPr>
      </w:pPr>
      <w:r>
        <w:rPr>
          <w:rFonts w:hint="eastAsia" w:ascii="宋体" w:hAnsi="宋体" w:cs="宋体"/>
        </w:rPr>
        <w:t>支持自动播放患者检查影像，播放速度用户可调、播放顺序可调</w:t>
      </w:r>
    </w:p>
    <w:p w14:paraId="4ED29673">
      <w:pPr>
        <w:pStyle w:val="175"/>
        <w:ind w:firstLine="482"/>
        <w:rPr>
          <w:rFonts w:ascii="宋体" w:hAnsi="宋体" w:cs="宋体"/>
          <w:b/>
          <w:bCs/>
        </w:rPr>
      </w:pPr>
      <w:r>
        <w:rPr>
          <w:rFonts w:hint="eastAsia" w:ascii="宋体" w:hAnsi="宋体" w:cs="宋体"/>
          <w:b/>
          <w:bCs/>
        </w:rPr>
        <w:t>图像测量，</w:t>
      </w:r>
      <w:r>
        <w:rPr>
          <w:rFonts w:hint="eastAsia"/>
        </w:rPr>
        <w:t>支持以下功能：</w:t>
      </w:r>
    </w:p>
    <w:p w14:paraId="5DEAA795">
      <w:pPr>
        <w:pStyle w:val="175"/>
        <w:ind w:firstLine="480"/>
        <w:rPr>
          <w:rFonts w:ascii="宋体" w:hAnsi="宋体" w:cs="宋体"/>
        </w:rPr>
      </w:pPr>
      <w:r>
        <w:rPr>
          <w:rFonts w:hint="eastAsia" w:ascii="宋体" w:hAnsi="宋体" w:cs="宋体"/>
        </w:rPr>
        <w:t>长度测量、面积测量、角度测量、面积测量</w:t>
      </w:r>
    </w:p>
    <w:p w14:paraId="08122304">
      <w:pPr>
        <w:pStyle w:val="175"/>
        <w:ind w:firstLine="480"/>
        <w:rPr>
          <w:rFonts w:ascii="宋体" w:hAnsi="宋体" w:cs="宋体"/>
        </w:rPr>
      </w:pPr>
      <w:r>
        <w:rPr>
          <w:rFonts w:hint="eastAsia" w:ascii="宋体" w:hAnsi="宋体" w:cs="宋体"/>
        </w:rPr>
        <w:t>支持像素值测量</w:t>
      </w:r>
    </w:p>
    <w:p w14:paraId="2F8A11D8">
      <w:pPr>
        <w:pStyle w:val="175"/>
        <w:ind w:firstLine="480"/>
        <w:rPr>
          <w:rFonts w:ascii="宋体" w:hAnsi="宋体" w:cs="宋体"/>
        </w:rPr>
      </w:pPr>
      <w:r>
        <w:rPr>
          <w:rFonts w:hint="eastAsia" w:ascii="宋体" w:hAnsi="宋体" w:cs="宋体"/>
        </w:rPr>
        <w:t>支持心胸比测量</w:t>
      </w:r>
    </w:p>
    <w:p w14:paraId="4B82E356">
      <w:pPr>
        <w:pStyle w:val="175"/>
        <w:ind w:firstLine="480"/>
        <w:rPr>
          <w:rFonts w:ascii="宋体" w:hAnsi="宋体" w:cs="宋体"/>
        </w:rPr>
      </w:pPr>
      <w:r>
        <w:rPr>
          <w:rFonts w:hint="eastAsia" w:ascii="宋体" w:hAnsi="宋体" w:cs="宋体"/>
        </w:rPr>
        <w:t>支持长方形、正方形、椭圆形和不规则测量</w:t>
      </w:r>
    </w:p>
    <w:p w14:paraId="0A2C8BC1">
      <w:pPr>
        <w:pStyle w:val="175"/>
        <w:ind w:firstLine="482"/>
        <w:rPr>
          <w:rFonts w:ascii="宋体" w:hAnsi="宋体" w:cs="宋体"/>
          <w:b/>
          <w:color w:val="000000"/>
          <w:lang w:bidi="ar"/>
        </w:rPr>
      </w:pPr>
      <w:r>
        <w:rPr>
          <w:rFonts w:hint="eastAsia" w:ascii="宋体" w:hAnsi="宋体" w:cs="宋体"/>
          <w:b/>
          <w:color w:val="000000"/>
          <w:lang w:bidi="ar"/>
        </w:rPr>
        <w:t>图像标注</w:t>
      </w:r>
      <w:r>
        <w:rPr>
          <w:rFonts w:hint="eastAsia" w:ascii="宋体" w:hAnsi="宋体" w:cs="宋体"/>
          <w:b/>
          <w:bCs/>
        </w:rPr>
        <w:t>，</w:t>
      </w:r>
      <w:r>
        <w:rPr>
          <w:rFonts w:hint="eastAsia"/>
        </w:rPr>
        <w:t>具备支持以下功能：</w:t>
      </w:r>
    </w:p>
    <w:p w14:paraId="533F27AB">
      <w:pPr>
        <w:pStyle w:val="175"/>
        <w:ind w:firstLine="480"/>
        <w:rPr>
          <w:rFonts w:ascii="宋体" w:hAnsi="宋体" w:cs="宋体"/>
          <w:b/>
          <w:bCs/>
        </w:rPr>
      </w:pPr>
      <w:r>
        <w:rPr>
          <w:rFonts w:hint="eastAsia" w:ascii="宋体" w:hAnsi="宋体" w:cs="宋体"/>
        </w:rPr>
        <w:t>a.支持箭头、线条、文本等注解功能。</w:t>
      </w:r>
    </w:p>
    <w:p w14:paraId="5BCC4361">
      <w:pPr>
        <w:pStyle w:val="175"/>
        <w:ind w:firstLine="482"/>
        <w:rPr>
          <w:rFonts w:ascii="宋体" w:hAnsi="宋体" w:cs="宋体"/>
          <w:b/>
          <w:color w:val="000000"/>
          <w:lang w:bidi="ar"/>
        </w:rPr>
      </w:pPr>
      <w:r>
        <w:rPr>
          <w:rFonts w:hint="eastAsia" w:ascii="宋体" w:hAnsi="宋体" w:cs="宋体"/>
          <w:b/>
          <w:color w:val="000000"/>
          <w:lang w:bidi="ar"/>
        </w:rPr>
        <w:t>图像处理</w:t>
      </w:r>
      <w:r>
        <w:rPr>
          <w:rFonts w:hint="eastAsia" w:ascii="宋体" w:hAnsi="宋体" w:cs="宋体"/>
          <w:b/>
          <w:bCs/>
        </w:rPr>
        <w:t>，</w:t>
      </w:r>
      <w:r>
        <w:rPr>
          <w:rFonts w:hint="eastAsia"/>
        </w:rPr>
        <w:t>具备支持以下功能：</w:t>
      </w:r>
    </w:p>
    <w:p w14:paraId="009E7802">
      <w:pPr>
        <w:pStyle w:val="175"/>
        <w:ind w:firstLine="480"/>
        <w:rPr>
          <w:rFonts w:ascii="宋体" w:hAnsi="宋体" w:cs="宋体"/>
        </w:rPr>
      </w:pPr>
      <w:r>
        <w:rPr>
          <w:rFonts w:hint="eastAsia" w:ascii="宋体" w:hAnsi="宋体" w:cs="宋体"/>
        </w:rPr>
        <w:t>支持图像缩放、移动、镜像、任意旋转、放大镜、裁剪、负像</w:t>
      </w:r>
    </w:p>
    <w:p w14:paraId="134C4B2B">
      <w:pPr>
        <w:pStyle w:val="175"/>
        <w:ind w:firstLine="480"/>
        <w:rPr>
          <w:rFonts w:ascii="宋体" w:hAnsi="宋体" w:cs="宋体"/>
        </w:rPr>
      </w:pPr>
      <w:r>
        <w:rPr>
          <w:rFonts w:hint="eastAsia" w:ascii="宋体" w:hAnsi="宋体" w:cs="宋体"/>
        </w:rPr>
        <w:t>支持手动加载DICOM原始文件浏览</w:t>
      </w:r>
    </w:p>
    <w:p w14:paraId="0CAFD169">
      <w:pPr>
        <w:pStyle w:val="175"/>
        <w:ind w:firstLine="480"/>
        <w:rPr>
          <w:rFonts w:ascii="宋体" w:hAnsi="宋体" w:cs="宋体"/>
        </w:rPr>
      </w:pPr>
      <w:r>
        <w:rPr>
          <w:rFonts w:hint="eastAsia" w:ascii="宋体" w:hAnsi="宋体" w:cs="宋体"/>
        </w:rPr>
        <w:t>支持影像标识</w:t>
      </w:r>
    </w:p>
    <w:p w14:paraId="3770DE49">
      <w:pPr>
        <w:pStyle w:val="175"/>
        <w:ind w:firstLine="480"/>
        <w:rPr>
          <w:rFonts w:ascii="宋体" w:hAnsi="宋体" w:cs="宋体"/>
        </w:rPr>
      </w:pPr>
      <w:r>
        <w:rPr>
          <w:rFonts w:hint="eastAsia" w:ascii="宋体" w:hAnsi="宋体" w:cs="宋体"/>
        </w:rPr>
        <w:t xml:space="preserve">平滑窗宽窗位调节 </w:t>
      </w:r>
    </w:p>
    <w:p w14:paraId="5F54DE1B">
      <w:pPr>
        <w:pStyle w:val="175"/>
        <w:ind w:firstLine="480"/>
        <w:rPr>
          <w:rFonts w:ascii="宋体" w:hAnsi="宋体" w:cs="宋体"/>
        </w:rPr>
      </w:pPr>
      <w:r>
        <w:rPr>
          <w:rFonts w:hint="eastAsia" w:ascii="宋体" w:hAnsi="宋体" w:cs="宋体"/>
        </w:rPr>
        <w:t>支持通过鼠标滚轮进行图像缩放</w:t>
      </w:r>
    </w:p>
    <w:p w14:paraId="59E5FAD1">
      <w:pPr>
        <w:pStyle w:val="175"/>
        <w:ind w:firstLine="480"/>
        <w:rPr>
          <w:rFonts w:cs="宋体"/>
        </w:rPr>
      </w:pPr>
      <w:r>
        <w:rPr>
          <w:rFonts w:hint="eastAsia" w:cs="宋体"/>
        </w:rPr>
        <w:t>支持MPR多平面重建，任意角度重建、十字定位</w:t>
      </w:r>
    </w:p>
    <w:p w14:paraId="2B607DA1">
      <w:pPr>
        <w:pStyle w:val="175"/>
        <w:ind w:firstLine="480"/>
        <w:rPr>
          <w:rFonts w:ascii="宋体" w:hAnsi="宋体" w:cs="宋体"/>
        </w:rPr>
      </w:pPr>
      <w:r>
        <w:rPr>
          <w:rFonts w:hint="eastAsia" w:ascii="宋体" w:hAnsi="宋体" w:cs="宋体"/>
        </w:rPr>
        <w:t>支持键盘快捷键调窗</w:t>
      </w:r>
    </w:p>
    <w:p w14:paraId="1F355AD3">
      <w:pPr>
        <w:pStyle w:val="175"/>
        <w:ind w:firstLine="480"/>
        <w:rPr>
          <w:rFonts w:ascii="宋体" w:hAnsi="宋体" w:cs="宋体"/>
        </w:rPr>
      </w:pPr>
      <w:r>
        <w:rPr>
          <w:rFonts w:hint="eastAsia" w:ascii="宋体" w:hAnsi="宋体" w:cs="宋体"/>
        </w:rPr>
        <w:t>空间关联点定位</w:t>
      </w:r>
    </w:p>
    <w:p w14:paraId="18DD30A3">
      <w:pPr>
        <w:pStyle w:val="175"/>
        <w:ind w:firstLine="480"/>
        <w:rPr>
          <w:rFonts w:ascii="宋体" w:hAnsi="宋体" w:cs="宋体"/>
        </w:rPr>
      </w:pPr>
      <w:r>
        <w:rPr>
          <w:rFonts w:hint="eastAsia" w:ascii="宋体" w:hAnsi="宋体" w:cs="宋体"/>
        </w:rPr>
        <w:t>支持图像拼接</w:t>
      </w:r>
    </w:p>
    <w:p w14:paraId="4B567CE1">
      <w:pPr>
        <w:pStyle w:val="175"/>
        <w:ind w:firstLine="480"/>
        <w:rPr>
          <w:rFonts w:ascii="宋体" w:hAnsi="宋体" w:cs="宋体"/>
        </w:rPr>
      </w:pPr>
      <w:r>
        <w:rPr>
          <w:rFonts w:hint="eastAsia" w:ascii="宋体" w:hAnsi="宋体" w:cs="宋体"/>
        </w:rPr>
        <w:t>多序列同步对比滚图</w:t>
      </w:r>
    </w:p>
    <w:p w14:paraId="41EE1C5D">
      <w:pPr>
        <w:pStyle w:val="175"/>
        <w:ind w:firstLine="480"/>
        <w:rPr>
          <w:rFonts w:ascii="宋体" w:hAnsi="宋体" w:cs="宋体"/>
        </w:rPr>
      </w:pPr>
      <w:r>
        <w:rPr>
          <w:rFonts w:hint="eastAsia" w:ascii="宋体" w:hAnsi="宋体" w:cs="宋体"/>
        </w:rPr>
        <w:t>支持多记录同屏对比</w:t>
      </w:r>
    </w:p>
    <w:p w14:paraId="67F2FFEF">
      <w:pPr>
        <w:pStyle w:val="175"/>
        <w:ind w:firstLine="482"/>
        <w:rPr>
          <w:rFonts w:ascii="宋体" w:hAnsi="宋体" w:cs="宋体"/>
        </w:rPr>
      </w:pPr>
      <w:r>
        <w:rPr>
          <w:rFonts w:hint="eastAsia" w:ascii="宋体" w:hAnsi="宋体" w:cs="宋体"/>
          <w:b/>
          <w:color w:val="000000"/>
          <w:lang w:bidi="ar"/>
        </w:rPr>
        <w:t>心血管造影、介入治疗影像处理</w:t>
      </w:r>
      <w:r>
        <w:rPr>
          <w:rFonts w:hint="eastAsia" w:ascii="宋体" w:hAnsi="宋体" w:cs="宋体"/>
          <w:b/>
          <w:bCs/>
        </w:rPr>
        <w:t>，</w:t>
      </w:r>
      <w:r>
        <w:rPr>
          <w:rFonts w:hint="eastAsia"/>
        </w:rPr>
        <w:t>具备支持以下功能：</w:t>
      </w:r>
    </w:p>
    <w:p w14:paraId="06578931">
      <w:pPr>
        <w:pStyle w:val="175"/>
        <w:ind w:firstLine="480"/>
        <w:rPr>
          <w:rFonts w:ascii="宋体" w:hAnsi="宋体" w:cs="宋体"/>
        </w:rPr>
      </w:pPr>
      <w:r>
        <w:rPr>
          <w:rFonts w:hint="eastAsia" w:ascii="宋体" w:hAnsi="宋体" w:cs="宋体"/>
        </w:rPr>
        <w:t>支持自动播放患者 DSA 动态影像</w:t>
      </w:r>
    </w:p>
    <w:p w14:paraId="62BE5BFC">
      <w:pPr>
        <w:pStyle w:val="175"/>
        <w:ind w:firstLine="480"/>
        <w:rPr>
          <w:rFonts w:ascii="宋体" w:hAnsi="宋体" w:cs="宋体"/>
        </w:rPr>
      </w:pPr>
      <w:r>
        <w:rPr>
          <w:rFonts w:hint="eastAsia" w:ascii="宋体" w:hAnsi="宋体" w:cs="宋体"/>
        </w:rPr>
        <w:t>支持生成视频文件导出功能</w:t>
      </w:r>
    </w:p>
    <w:p w14:paraId="607817D2">
      <w:pPr>
        <w:pStyle w:val="175"/>
        <w:ind w:firstLine="480"/>
        <w:rPr>
          <w:rFonts w:ascii="宋体" w:hAnsi="宋体" w:cs="宋体"/>
        </w:rPr>
      </w:pPr>
      <w:r>
        <w:rPr>
          <w:rFonts w:hint="eastAsia" w:ascii="宋体" w:hAnsi="宋体" w:cs="宋体"/>
        </w:rPr>
        <w:t>支持动态影像循环播放模式，循环播放</w:t>
      </w:r>
    </w:p>
    <w:p w14:paraId="337F8AA5">
      <w:pPr>
        <w:pStyle w:val="175"/>
        <w:ind w:firstLine="480"/>
        <w:rPr>
          <w:rFonts w:ascii="宋体" w:hAnsi="宋体" w:cs="宋体"/>
        </w:rPr>
      </w:pPr>
      <w:r>
        <w:rPr>
          <w:rFonts w:hint="eastAsia" w:ascii="宋体" w:hAnsi="宋体" w:cs="宋体"/>
        </w:rPr>
        <w:t>支持图像数字剪影、自动删减非关键位置影像，突出血管影像</w:t>
      </w:r>
    </w:p>
    <w:p w14:paraId="306DF4BC">
      <w:pPr>
        <w:pStyle w:val="175"/>
        <w:ind w:firstLine="480"/>
        <w:rPr>
          <w:rFonts w:ascii="宋体" w:hAnsi="宋体" w:cs="宋体"/>
        </w:rPr>
      </w:pPr>
      <w:r>
        <w:rPr>
          <w:rFonts w:hint="eastAsia" w:ascii="宋体" w:hAnsi="宋体" w:cs="宋体"/>
        </w:rPr>
        <w:t>支持自定义播放速度，暂停、快进等功能。</w:t>
      </w:r>
    </w:p>
    <w:p w14:paraId="0DDDF5A8">
      <w:pPr>
        <w:pStyle w:val="175"/>
        <w:ind w:firstLine="482"/>
        <w:rPr>
          <w:rFonts w:ascii="宋体" w:hAnsi="宋体" w:cs="宋体"/>
          <w:b/>
          <w:color w:val="000000"/>
          <w:lang w:bidi="ar"/>
        </w:rPr>
      </w:pPr>
      <w:r>
        <w:rPr>
          <w:rFonts w:hint="eastAsia" w:ascii="宋体" w:hAnsi="宋体" w:cs="宋体"/>
          <w:b/>
          <w:color w:val="000000"/>
          <w:lang w:bidi="ar"/>
        </w:rPr>
        <w:t>图像另存</w:t>
      </w:r>
      <w:r>
        <w:rPr>
          <w:rFonts w:hint="eastAsia" w:ascii="宋体" w:hAnsi="宋体" w:cs="宋体"/>
          <w:b/>
          <w:bCs/>
        </w:rPr>
        <w:t>，</w:t>
      </w:r>
      <w:r>
        <w:rPr>
          <w:rFonts w:hint="eastAsia"/>
        </w:rPr>
        <w:t>支持以下功能：</w:t>
      </w:r>
    </w:p>
    <w:p w14:paraId="11784A24">
      <w:pPr>
        <w:pStyle w:val="175"/>
        <w:ind w:firstLine="480"/>
        <w:rPr>
          <w:rFonts w:ascii="宋体" w:hAnsi="宋体" w:cs="宋体"/>
        </w:rPr>
      </w:pPr>
      <w:r>
        <w:rPr>
          <w:rFonts w:hint="eastAsia" w:ascii="宋体" w:hAnsi="宋体" w:cs="宋体"/>
        </w:rPr>
        <w:t>支持导入dcm、jpg格式图像</w:t>
      </w:r>
    </w:p>
    <w:p w14:paraId="6D47AD60">
      <w:pPr>
        <w:pStyle w:val="175"/>
        <w:ind w:firstLine="480"/>
        <w:rPr>
          <w:rFonts w:ascii="宋体" w:hAnsi="宋体" w:cs="宋体"/>
        </w:rPr>
      </w:pPr>
      <w:r>
        <w:rPr>
          <w:rFonts w:hint="eastAsia" w:ascii="宋体" w:hAnsi="宋体" w:cs="宋体"/>
        </w:rPr>
        <w:t>支持导出单一序列或整个患者图像到指定位置</w:t>
      </w:r>
    </w:p>
    <w:p w14:paraId="2938AD5C">
      <w:pPr>
        <w:pStyle w:val="175"/>
        <w:ind w:firstLine="482"/>
        <w:rPr>
          <w:rFonts w:ascii="宋体" w:hAnsi="宋体" w:cs="宋体"/>
          <w:b/>
          <w:color w:val="000000"/>
          <w:lang w:bidi="ar"/>
        </w:rPr>
      </w:pPr>
      <w:r>
        <w:rPr>
          <w:rFonts w:hint="eastAsia" w:ascii="宋体" w:hAnsi="宋体" w:cs="宋体"/>
          <w:b/>
          <w:color w:val="000000"/>
          <w:lang w:bidi="ar"/>
        </w:rPr>
        <w:t>胶片打印</w:t>
      </w:r>
      <w:r>
        <w:rPr>
          <w:rFonts w:hint="eastAsia" w:ascii="宋体" w:hAnsi="宋体" w:cs="宋体"/>
          <w:b/>
          <w:bCs/>
        </w:rPr>
        <w:t>，</w:t>
      </w:r>
      <w:r>
        <w:rPr>
          <w:rFonts w:hint="eastAsia"/>
        </w:rPr>
        <w:t>支持以下功能：</w:t>
      </w:r>
    </w:p>
    <w:p w14:paraId="004CA278">
      <w:pPr>
        <w:pStyle w:val="175"/>
        <w:ind w:firstLine="480"/>
        <w:rPr>
          <w:rFonts w:ascii="宋体" w:hAnsi="宋体" w:cs="宋体"/>
        </w:rPr>
      </w:pPr>
      <w:r>
        <w:rPr>
          <w:rFonts w:hint="eastAsia" w:ascii="宋体" w:hAnsi="宋体" w:cs="宋体"/>
        </w:rPr>
        <w:t>支持所见即所得胶片打印，图文标注，图像剪裁，调窗，拼接胶片打印</w:t>
      </w:r>
    </w:p>
    <w:p w14:paraId="204D37D5">
      <w:pPr>
        <w:pStyle w:val="175"/>
        <w:ind w:firstLine="480"/>
        <w:rPr>
          <w:rFonts w:ascii="宋体" w:hAnsi="宋体" w:cs="宋体"/>
        </w:rPr>
      </w:pPr>
      <w:r>
        <w:rPr>
          <w:rFonts w:hint="eastAsia" w:ascii="宋体" w:hAnsi="宋体" w:cs="宋体"/>
        </w:rPr>
        <w:t>支持一键快速把当前患者所有图像加入胶片打印预览</w:t>
      </w:r>
    </w:p>
    <w:p w14:paraId="7F69249C">
      <w:pPr>
        <w:pStyle w:val="175"/>
        <w:ind w:firstLine="480"/>
        <w:rPr>
          <w:rFonts w:ascii="宋体" w:hAnsi="宋体" w:cs="宋体"/>
        </w:rPr>
      </w:pPr>
      <w:r>
        <w:rPr>
          <w:rFonts w:hint="eastAsia" w:ascii="宋体" w:hAnsi="宋体" w:cs="宋体"/>
        </w:rPr>
        <w:t>支持规则、不规则或自定义胶片打印排版</w:t>
      </w:r>
    </w:p>
    <w:p w14:paraId="681D9A78">
      <w:pPr>
        <w:pStyle w:val="175"/>
        <w:ind w:firstLine="480"/>
        <w:rPr>
          <w:kern w:val="2"/>
        </w:rPr>
      </w:pPr>
      <w:r>
        <w:rPr>
          <w:rFonts w:hint="eastAsia"/>
          <w:kern w:val="2"/>
        </w:rPr>
        <w:t>支持胶片打印次数记录</w:t>
      </w:r>
    </w:p>
    <w:p w14:paraId="7006EE9B">
      <w:pPr>
        <w:pStyle w:val="8"/>
        <w:numPr>
          <w:ilvl w:val="5"/>
          <w:numId w:val="16"/>
        </w:numPr>
        <w:rPr>
          <w:rFonts w:eastAsia="宋体"/>
        </w:rPr>
      </w:pPr>
      <w:r>
        <w:rPr>
          <w:rFonts w:hint="eastAsia" w:eastAsia="宋体"/>
        </w:rPr>
        <w:t>报告处理</w:t>
      </w:r>
    </w:p>
    <w:p w14:paraId="0FCF91C6">
      <w:pPr>
        <w:pStyle w:val="3"/>
      </w:pPr>
      <w:r>
        <w:rPr>
          <w:rFonts w:hint="eastAsia" w:asciiTheme="minorEastAsia" w:hAnsiTheme="minorEastAsia" w:eastAsiaTheme="minorEastAsia"/>
        </w:rPr>
        <w:t>支持以下功能：</w:t>
      </w:r>
    </w:p>
    <w:p w14:paraId="05844548">
      <w:pPr>
        <w:pStyle w:val="175"/>
        <w:ind w:firstLine="480"/>
      </w:pPr>
      <w:r>
        <w:rPr>
          <w:rFonts w:hint="eastAsia"/>
        </w:rPr>
        <w:t>支持报告模板树形管理结构，根据检查类型自动锁定模板内容</w:t>
      </w:r>
    </w:p>
    <w:p w14:paraId="214CDD0F">
      <w:pPr>
        <w:pStyle w:val="175"/>
        <w:ind w:firstLine="480"/>
      </w:pPr>
      <w:r>
        <w:rPr>
          <w:rFonts w:hint="eastAsia"/>
        </w:rPr>
        <w:t>支持系统模板和私有模板</w:t>
      </w:r>
    </w:p>
    <w:p w14:paraId="0FEA3B21">
      <w:pPr>
        <w:pStyle w:val="175"/>
        <w:ind w:firstLine="480"/>
      </w:pPr>
      <w:r>
        <w:rPr>
          <w:rFonts w:hint="eastAsia"/>
        </w:rPr>
        <w:t>支持报告内容超链接提示，右键点击下拉选择词库</w:t>
      </w:r>
    </w:p>
    <w:p w14:paraId="33B64EE5">
      <w:pPr>
        <w:pStyle w:val="175"/>
        <w:ind w:firstLine="480"/>
      </w:pPr>
      <w:r>
        <w:rPr>
          <w:rFonts w:hint="eastAsia"/>
        </w:rPr>
        <w:t>支持报告内容用词禁忌提示</w:t>
      </w:r>
    </w:p>
    <w:p w14:paraId="34CD267B">
      <w:pPr>
        <w:pStyle w:val="175"/>
        <w:ind w:firstLine="480"/>
      </w:pPr>
      <w:r>
        <w:rPr>
          <w:rFonts w:hint="eastAsia"/>
        </w:rPr>
        <w:t>支持报告审核退回功能，发回报告医师重新书写。</w:t>
      </w:r>
    </w:p>
    <w:p w14:paraId="43AC6EBF">
      <w:pPr>
        <w:pStyle w:val="175"/>
        <w:ind w:firstLine="480"/>
      </w:pPr>
      <w:r>
        <w:rPr>
          <w:rFonts w:hint="eastAsia"/>
        </w:rPr>
        <w:t>支持对技师拍摄的片子进行评级（包含甲、乙、丙片）</w:t>
      </w:r>
    </w:p>
    <w:p w14:paraId="4774C5EE">
      <w:pPr>
        <w:pStyle w:val="175"/>
        <w:ind w:firstLine="480"/>
      </w:pPr>
      <w:r>
        <w:rPr>
          <w:rFonts w:hint="eastAsia"/>
        </w:rPr>
        <w:t>支持查看该患者既往检查的报告、图像用来对比，支持导入报告到当前患者</w:t>
      </w:r>
    </w:p>
    <w:p w14:paraId="2367EF67">
      <w:pPr>
        <w:pStyle w:val="175"/>
        <w:ind w:firstLine="480"/>
      </w:pPr>
      <w:r>
        <w:rPr>
          <w:rFonts w:hint="eastAsia"/>
        </w:rPr>
        <w:t>支持保存报告时自动判断是否选择阴阳性</w:t>
      </w:r>
    </w:p>
    <w:p w14:paraId="63509027">
      <w:pPr>
        <w:pStyle w:val="175"/>
        <w:ind w:firstLine="480"/>
      </w:pPr>
      <w:r>
        <w:rPr>
          <w:rFonts w:hint="eastAsia"/>
        </w:rPr>
        <w:t>支持报告预览选择报告样式、字体大小、打印机等</w:t>
      </w:r>
    </w:p>
    <w:p w14:paraId="2EEBE5DD">
      <w:pPr>
        <w:pStyle w:val="175"/>
        <w:ind w:firstLine="480"/>
      </w:pPr>
      <w:r>
        <w:rPr>
          <w:rFonts w:hint="eastAsia"/>
        </w:rPr>
        <w:t>支持打开患者自动查看申请单图片、电子申请单</w:t>
      </w:r>
    </w:p>
    <w:p w14:paraId="4ED22334">
      <w:pPr>
        <w:pStyle w:val="175"/>
        <w:ind w:firstLine="480"/>
      </w:pPr>
      <w:r>
        <w:rPr>
          <w:rFonts w:hint="eastAsia"/>
        </w:rPr>
        <w:t>支持查看技师留言</w:t>
      </w:r>
    </w:p>
    <w:p w14:paraId="4DCA128E">
      <w:pPr>
        <w:pStyle w:val="175"/>
        <w:ind w:firstLine="480"/>
      </w:pPr>
      <w:r>
        <w:rPr>
          <w:rFonts w:hint="eastAsia"/>
        </w:rPr>
        <w:t>支持医生排班关联用户工作列表，实现报告任务分配</w:t>
      </w:r>
    </w:p>
    <w:p w14:paraId="3950F1D6">
      <w:pPr>
        <w:pStyle w:val="175"/>
        <w:ind w:firstLine="480"/>
      </w:pPr>
      <w:r>
        <w:rPr>
          <w:rFonts w:hint="eastAsia"/>
        </w:rPr>
        <w:t>支持危急值维护和提交</w:t>
      </w:r>
    </w:p>
    <w:p w14:paraId="70512B53">
      <w:pPr>
        <w:pStyle w:val="175"/>
        <w:ind w:firstLine="480"/>
      </w:pPr>
      <w:r>
        <w:rPr>
          <w:rFonts w:hint="eastAsia"/>
        </w:rPr>
        <w:t>支持已打印发布报告追回的功能</w:t>
      </w:r>
    </w:p>
    <w:p w14:paraId="09AA0C43">
      <w:pPr>
        <w:pStyle w:val="175"/>
        <w:ind w:firstLine="480"/>
      </w:pPr>
      <w:r>
        <w:rPr>
          <w:rFonts w:hint="eastAsia"/>
        </w:rPr>
        <w:t>支持二级审核、三级审核模式</w:t>
      </w:r>
    </w:p>
    <w:p w14:paraId="10A0804D">
      <w:pPr>
        <w:pStyle w:val="175"/>
        <w:ind w:firstLine="480"/>
      </w:pPr>
      <w:r>
        <w:rPr>
          <w:rFonts w:hint="eastAsia"/>
        </w:rPr>
        <w:t>支持检查记录、报告痕迹跟踪</w:t>
      </w:r>
    </w:p>
    <w:p w14:paraId="172E01B3">
      <w:pPr>
        <w:pStyle w:val="175"/>
        <w:ind w:firstLine="480"/>
      </w:pPr>
      <w:r>
        <w:rPr>
          <w:rFonts w:hint="eastAsia"/>
        </w:rPr>
        <w:t>支持报告痕迹对比列表：当前报告信息与历史检查的报告信息对比；当前报告信息与检查记录中的修改记录对比；以不同颜色突出显示修改痕迹</w:t>
      </w:r>
    </w:p>
    <w:p w14:paraId="1F9CCD49">
      <w:pPr>
        <w:pStyle w:val="175"/>
        <w:ind w:firstLine="480"/>
      </w:pPr>
      <w:r>
        <w:rPr>
          <w:rFonts w:hint="eastAsia"/>
        </w:rPr>
        <w:t>支持按指定时间和医生角色开启临时报告</w:t>
      </w:r>
    </w:p>
    <w:p w14:paraId="7D202C5F">
      <w:pPr>
        <w:pStyle w:val="175"/>
        <w:ind w:firstLine="480"/>
      </w:pPr>
      <w:r>
        <w:rPr>
          <w:rFonts w:hint="eastAsia"/>
        </w:rPr>
        <w:t>支持审核报告时对危机报告智能提醒的功能，并弹框选择对应危急值</w:t>
      </w:r>
    </w:p>
    <w:p w14:paraId="28918B3B">
      <w:pPr>
        <w:pStyle w:val="175"/>
        <w:ind w:firstLine="480"/>
      </w:pPr>
      <w:r>
        <w:rPr>
          <w:rFonts w:hint="eastAsia"/>
        </w:rPr>
        <w:t>支持通过接口实现危急值闭环管理的功能</w:t>
      </w:r>
    </w:p>
    <w:p w14:paraId="02DF4FC2">
      <w:pPr>
        <w:pStyle w:val="8"/>
        <w:numPr>
          <w:ilvl w:val="5"/>
          <w:numId w:val="16"/>
        </w:numPr>
        <w:rPr>
          <w:rFonts w:eastAsia="宋体"/>
        </w:rPr>
      </w:pPr>
      <w:r>
        <w:rPr>
          <w:rFonts w:hint="eastAsia" w:eastAsia="宋体"/>
        </w:rPr>
        <w:t>消息通讯</w:t>
      </w:r>
    </w:p>
    <w:p w14:paraId="0F02A4AE">
      <w:pPr>
        <w:pStyle w:val="3"/>
      </w:pPr>
      <w:r>
        <w:rPr>
          <w:rFonts w:hint="eastAsia" w:asciiTheme="minorEastAsia" w:hAnsiTheme="minorEastAsia" w:eastAsiaTheme="minorEastAsia"/>
        </w:rPr>
        <w:t>支持以下功能：</w:t>
      </w:r>
    </w:p>
    <w:p w14:paraId="0F0761B9">
      <w:pPr>
        <w:pStyle w:val="175"/>
        <w:ind w:firstLine="480"/>
      </w:pPr>
      <w:r>
        <w:rPr>
          <w:rFonts w:hint="eastAsia"/>
        </w:rPr>
        <w:t>登录系统自动关联用户登录消息通讯工具</w:t>
      </w:r>
    </w:p>
    <w:p w14:paraId="7042EA36">
      <w:pPr>
        <w:pStyle w:val="175"/>
        <w:ind w:firstLine="480"/>
      </w:pPr>
      <w:r>
        <w:rPr>
          <w:rFonts w:hint="eastAsia"/>
        </w:rPr>
        <w:t>自动按用户的角色权限进行分组</w:t>
      </w:r>
    </w:p>
    <w:p w14:paraId="59DA553C">
      <w:pPr>
        <w:pStyle w:val="175"/>
        <w:ind w:firstLine="480"/>
      </w:pPr>
      <w:r>
        <w:rPr>
          <w:rFonts w:hint="eastAsia"/>
        </w:rPr>
        <w:t>提供用户在线、忙碌、离线、外出就餐等状态</w:t>
      </w:r>
    </w:p>
    <w:p w14:paraId="422AD80B">
      <w:pPr>
        <w:pStyle w:val="175"/>
        <w:ind w:firstLine="480"/>
      </w:pPr>
      <w:r>
        <w:rPr>
          <w:rFonts w:hint="eastAsia"/>
        </w:rPr>
        <w:t>留言板功能，为本机用户在下次登录的时候弹出留言内容</w:t>
      </w:r>
    </w:p>
    <w:p w14:paraId="5CAA21E1">
      <w:pPr>
        <w:pStyle w:val="175"/>
        <w:ind w:firstLine="480"/>
      </w:pPr>
      <w:r>
        <w:rPr>
          <w:rFonts w:hint="eastAsia"/>
        </w:rPr>
        <w:t>广播通知、消息群发</w:t>
      </w:r>
    </w:p>
    <w:p w14:paraId="0D0B9BCE">
      <w:pPr>
        <w:pStyle w:val="175"/>
        <w:ind w:firstLine="480"/>
      </w:pPr>
      <w:r>
        <w:rPr>
          <w:rFonts w:hint="eastAsia"/>
        </w:rPr>
        <w:t>关联用户操作弹窗通知提示，智能反馈操作结果信息</w:t>
      </w:r>
    </w:p>
    <w:p w14:paraId="0F673717">
      <w:pPr>
        <w:pStyle w:val="175"/>
        <w:ind w:firstLine="480"/>
      </w:pPr>
      <w:r>
        <w:rPr>
          <w:rFonts w:hint="eastAsia"/>
        </w:rPr>
        <w:t>最近一条弹窗提示信息标红循环滚动</w:t>
      </w:r>
    </w:p>
    <w:p w14:paraId="44AB41B1">
      <w:pPr>
        <w:pStyle w:val="175"/>
        <w:ind w:firstLine="480"/>
      </w:pPr>
      <w:r>
        <w:rPr>
          <w:rFonts w:hint="eastAsia"/>
        </w:rPr>
        <w:t>院内实时会诊功能</w:t>
      </w:r>
    </w:p>
    <w:p w14:paraId="63D04B47">
      <w:pPr>
        <w:pStyle w:val="175"/>
        <w:ind w:firstLine="480"/>
      </w:pPr>
      <w:r>
        <w:rPr>
          <w:rFonts w:hint="eastAsia"/>
        </w:rPr>
        <w:t>会诊记录、通讯消息、本地留言板信息管理</w:t>
      </w:r>
    </w:p>
    <w:p w14:paraId="13F0DA9D">
      <w:pPr>
        <w:pStyle w:val="175"/>
        <w:ind w:firstLine="480"/>
      </w:pPr>
      <w:r>
        <w:rPr>
          <w:rFonts w:hint="eastAsia"/>
        </w:rPr>
        <w:t>自定义选择颜色皮肤</w:t>
      </w:r>
    </w:p>
    <w:p w14:paraId="2E5E329D">
      <w:pPr>
        <w:pStyle w:val="175"/>
        <w:ind w:firstLine="480"/>
      </w:pPr>
      <w:r>
        <w:rPr>
          <w:rFonts w:hint="eastAsia"/>
        </w:rPr>
        <w:t>自定义消息自动关闭时间设置</w:t>
      </w:r>
    </w:p>
    <w:p w14:paraId="1B323186">
      <w:pPr>
        <w:pStyle w:val="175"/>
        <w:ind w:firstLine="480"/>
      </w:pPr>
      <w:r>
        <w:rPr>
          <w:rFonts w:hint="eastAsia"/>
        </w:rPr>
        <w:t>对话界面操作快捷键设置</w:t>
      </w:r>
    </w:p>
    <w:p w14:paraId="47858E7D">
      <w:pPr>
        <w:pStyle w:val="175"/>
        <w:ind w:firstLine="480"/>
      </w:pPr>
      <w:r>
        <w:rPr>
          <w:rFonts w:hint="eastAsia"/>
        </w:rPr>
        <w:t>用户基本资料设置</w:t>
      </w:r>
    </w:p>
    <w:p w14:paraId="27FFCAB2">
      <w:pPr>
        <w:pStyle w:val="8"/>
        <w:numPr>
          <w:ilvl w:val="5"/>
          <w:numId w:val="16"/>
        </w:numPr>
        <w:rPr>
          <w:rFonts w:eastAsia="宋体"/>
        </w:rPr>
      </w:pPr>
      <w:r>
        <w:rPr>
          <w:rFonts w:hint="eastAsia" w:eastAsia="宋体"/>
        </w:rPr>
        <w:t>病历管理</w:t>
      </w:r>
    </w:p>
    <w:p w14:paraId="74F234DB">
      <w:pPr>
        <w:pStyle w:val="3"/>
      </w:pPr>
      <w:r>
        <w:rPr>
          <w:rFonts w:hint="eastAsia" w:asciiTheme="minorEastAsia" w:hAnsiTheme="minorEastAsia" w:eastAsiaTheme="minorEastAsia"/>
        </w:rPr>
        <w:t>支持以下功能：</w:t>
      </w:r>
    </w:p>
    <w:p w14:paraId="224B0C91">
      <w:pPr>
        <w:pStyle w:val="175"/>
        <w:ind w:firstLine="480"/>
      </w:pPr>
      <w:r>
        <w:rPr>
          <w:rFonts w:hint="eastAsia"/>
        </w:rPr>
        <w:t>支持按病人影像号、病人姓名、检查日期、诊断医师、申请科室、设备 类型、检查部位、申请医师、报告医师、操作医师、审核医师、显示诊断结论等查询条件查询患者，并打开患者报告。</w:t>
      </w:r>
    </w:p>
    <w:p w14:paraId="3C1E3081">
      <w:pPr>
        <w:pStyle w:val="175"/>
        <w:ind w:firstLine="480"/>
      </w:pPr>
      <w:r>
        <w:rPr>
          <w:rFonts w:hint="eastAsia"/>
        </w:rPr>
        <w:t>支持建立患者随访库、典型病历</w:t>
      </w:r>
    </w:p>
    <w:p w14:paraId="51E03F30">
      <w:pPr>
        <w:pStyle w:val="175"/>
        <w:ind w:firstLine="480"/>
      </w:pPr>
      <w:r>
        <w:rPr>
          <w:rFonts w:hint="eastAsia"/>
        </w:rPr>
        <w:t>支持查看患者既往病历、申请单、条码等数据</w:t>
      </w:r>
    </w:p>
    <w:p w14:paraId="788F96DE">
      <w:pPr>
        <w:pStyle w:val="175"/>
        <w:ind w:firstLine="480"/>
      </w:pPr>
      <w:r>
        <w:rPr>
          <w:rFonts w:hint="eastAsia"/>
        </w:rPr>
        <w:t>支持列表与队列二种患者记录排版方式</w:t>
      </w:r>
    </w:p>
    <w:p w14:paraId="72C3B7EA">
      <w:pPr>
        <w:pStyle w:val="175"/>
        <w:ind w:firstLine="480"/>
      </w:pPr>
      <w:r>
        <w:rPr>
          <w:rFonts w:hint="eastAsia"/>
        </w:rPr>
        <w:t>支持患者记录一键导出Excel表格，自定义选择、添加列</w:t>
      </w:r>
    </w:p>
    <w:p w14:paraId="47E01AE7">
      <w:pPr>
        <w:pStyle w:val="175"/>
        <w:ind w:firstLine="480"/>
      </w:pPr>
      <w:r>
        <w:rPr>
          <w:rFonts w:hint="eastAsia"/>
        </w:rPr>
        <w:t>支持检查列表字段的调节</w:t>
      </w:r>
    </w:p>
    <w:p w14:paraId="677B43D1">
      <w:pPr>
        <w:pStyle w:val="175"/>
        <w:ind w:firstLine="480"/>
      </w:pPr>
      <w:r>
        <w:rPr>
          <w:rFonts w:hint="eastAsia"/>
        </w:rPr>
        <w:t>支持报告补打、批量打印报告</w:t>
      </w:r>
    </w:p>
    <w:p w14:paraId="3D415357">
      <w:pPr>
        <w:pStyle w:val="175"/>
        <w:ind w:firstLine="480"/>
      </w:pPr>
      <w:r>
        <w:rPr>
          <w:rFonts w:hint="eastAsia"/>
        </w:rPr>
        <w:t>支持查看患者所有操作痕迹</w:t>
      </w:r>
    </w:p>
    <w:p w14:paraId="0C73980D">
      <w:pPr>
        <w:pStyle w:val="175"/>
        <w:ind w:firstLine="480"/>
      </w:pPr>
      <w:r>
        <w:rPr>
          <w:rFonts w:hint="eastAsia"/>
        </w:rPr>
        <w:t>支持选择特定的影像号的尾号检索病人，实现报告的任务分配</w:t>
      </w:r>
    </w:p>
    <w:p w14:paraId="72FBCC96">
      <w:pPr>
        <w:pStyle w:val="175"/>
        <w:ind w:firstLine="480"/>
      </w:pPr>
      <w:r>
        <w:rPr>
          <w:rFonts w:hint="eastAsia"/>
        </w:rPr>
        <w:t>以不同颜色区分不同的检查状态，按检查状态快速查询到所需的检查记录</w:t>
      </w:r>
    </w:p>
    <w:p w14:paraId="72C47973">
      <w:pPr>
        <w:pStyle w:val="175"/>
        <w:ind w:firstLine="480"/>
      </w:pPr>
      <w:r>
        <w:rPr>
          <w:rFonts w:hint="eastAsia"/>
        </w:rPr>
        <w:t>支持dcm图像序列的拷贝以及粘贴</w:t>
      </w:r>
    </w:p>
    <w:p w14:paraId="04AFCD54">
      <w:pPr>
        <w:pStyle w:val="175"/>
        <w:ind w:firstLine="480"/>
      </w:pPr>
      <w:r>
        <w:rPr>
          <w:rFonts w:hint="eastAsia"/>
        </w:rPr>
        <w:t>选中病人记录自动匹配历史检查信息、报告信息及图像序列信息</w:t>
      </w:r>
    </w:p>
    <w:p w14:paraId="7A7879E3">
      <w:pPr>
        <w:pStyle w:val="7"/>
        <w:numPr>
          <w:ilvl w:val="4"/>
          <w:numId w:val="16"/>
        </w:numPr>
      </w:pPr>
      <w:bookmarkStart w:id="226" w:name="_Toc17613"/>
      <w:bookmarkStart w:id="227" w:name="_Toc6182"/>
      <w:r>
        <w:rPr>
          <w:rFonts w:hint="eastAsia"/>
        </w:rPr>
        <w:t>主任管理工作站</w:t>
      </w:r>
      <w:bookmarkEnd w:id="226"/>
      <w:bookmarkEnd w:id="227"/>
    </w:p>
    <w:p w14:paraId="17408024">
      <w:pPr>
        <w:pStyle w:val="8"/>
        <w:numPr>
          <w:ilvl w:val="5"/>
          <w:numId w:val="16"/>
        </w:numPr>
      </w:pPr>
      <w:r>
        <w:rPr>
          <w:rFonts w:hint="eastAsia"/>
        </w:rPr>
        <w:t>具备医师工作站所有功能</w:t>
      </w:r>
    </w:p>
    <w:p w14:paraId="27931446">
      <w:pPr>
        <w:pStyle w:val="8"/>
        <w:numPr>
          <w:ilvl w:val="5"/>
          <w:numId w:val="16"/>
        </w:numPr>
      </w:pPr>
      <w:r>
        <w:rPr>
          <w:rFonts w:hint="eastAsia"/>
        </w:rPr>
        <w:t>统计分析</w:t>
      </w:r>
    </w:p>
    <w:p w14:paraId="02B6CE9C">
      <w:pPr>
        <w:pStyle w:val="3"/>
      </w:pPr>
      <w:r>
        <w:rPr>
          <w:rFonts w:hint="eastAsia" w:asciiTheme="minorEastAsia" w:hAnsiTheme="minorEastAsia" w:eastAsiaTheme="minorEastAsia"/>
        </w:rPr>
        <w:t>支持以下功能：</w:t>
      </w:r>
    </w:p>
    <w:p w14:paraId="65F2866D">
      <w:pPr>
        <w:pStyle w:val="175"/>
        <w:ind w:firstLine="480"/>
      </w:pPr>
      <w:r>
        <w:rPr>
          <w:rFonts w:hint="eastAsia"/>
        </w:rPr>
        <w:t>按时间、检查类型、送检科室等条件筛选统计</w:t>
      </w:r>
    </w:p>
    <w:p w14:paraId="7FC4C6C4">
      <w:pPr>
        <w:pStyle w:val="175"/>
        <w:ind w:firstLine="480"/>
      </w:pPr>
      <w:r>
        <w:rPr>
          <w:rFonts w:hint="eastAsia"/>
        </w:rPr>
        <w:t>统计模板树形管理结构，快速调用统计模板</w:t>
      </w:r>
    </w:p>
    <w:p w14:paraId="4C16056C">
      <w:pPr>
        <w:pStyle w:val="175"/>
        <w:ind w:firstLine="480"/>
      </w:pPr>
      <w:r>
        <w:rPr>
          <w:rFonts w:hint="eastAsia"/>
        </w:rPr>
        <w:t>自由选择是否启用统计起始时间段，精确到秒级</w:t>
      </w:r>
    </w:p>
    <w:p w14:paraId="0364A1D7">
      <w:pPr>
        <w:pStyle w:val="175"/>
        <w:ind w:firstLine="480"/>
      </w:pPr>
      <w:r>
        <w:rPr>
          <w:rFonts w:hint="eastAsia"/>
        </w:rPr>
        <w:t>登记、技师、报告医生、审核医生等角色工作量统计</w:t>
      </w:r>
    </w:p>
    <w:p w14:paraId="22268DAF">
      <w:pPr>
        <w:pStyle w:val="175"/>
        <w:ind w:firstLine="480"/>
      </w:pPr>
      <w:r>
        <w:rPr>
          <w:rFonts w:hint="eastAsia"/>
        </w:rPr>
        <w:t>各个设备检查效益统计</w:t>
      </w:r>
    </w:p>
    <w:p w14:paraId="7E93F256">
      <w:pPr>
        <w:pStyle w:val="175"/>
        <w:ind w:firstLine="480"/>
      </w:pPr>
      <w:r>
        <w:rPr>
          <w:rFonts w:hint="eastAsia"/>
        </w:rPr>
        <w:t>检查部位、阳性率、危急值、增强等指标统计</w:t>
      </w:r>
    </w:p>
    <w:p w14:paraId="088745A6">
      <w:pPr>
        <w:pStyle w:val="175"/>
        <w:ind w:firstLine="480"/>
      </w:pPr>
      <w:r>
        <w:rPr>
          <w:rFonts w:hint="eastAsia"/>
        </w:rPr>
        <w:t>可视化统计模板设计</w:t>
      </w:r>
    </w:p>
    <w:p w14:paraId="48A8D0A9">
      <w:pPr>
        <w:pStyle w:val="175"/>
        <w:ind w:firstLine="480"/>
        <w:rPr>
          <w:color w:val="000000"/>
        </w:rPr>
      </w:pPr>
      <w:r>
        <w:rPr>
          <w:rFonts w:hint="eastAsia"/>
        </w:rPr>
        <w:t>统计报表输出EXCEL、PDF、RTF、CSV等多种格式文件</w:t>
      </w:r>
    </w:p>
    <w:p w14:paraId="549FB0CC">
      <w:pPr>
        <w:pStyle w:val="8"/>
        <w:numPr>
          <w:ilvl w:val="5"/>
          <w:numId w:val="16"/>
        </w:numPr>
      </w:pPr>
      <w:r>
        <w:rPr>
          <w:rFonts w:hint="eastAsia"/>
        </w:rPr>
        <w:t>权限管理分配</w:t>
      </w:r>
    </w:p>
    <w:p w14:paraId="31851361">
      <w:pPr>
        <w:pStyle w:val="3"/>
      </w:pPr>
      <w:r>
        <w:rPr>
          <w:rFonts w:hint="eastAsia" w:asciiTheme="minorEastAsia" w:hAnsiTheme="minorEastAsia" w:eastAsiaTheme="minorEastAsia"/>
        </w:rPr>
        <w:t>支持以下功能：</w:t>
      </w:r>
    </w:p>
    <w:p w14:paraId="41D1BC4B">
      <w:pPr>
        <w:pStyle w:val="175"/>
        <w:ind w:firstLine="480"/>
      </w:pPr>
      <w:r>
        <w:rPr>
          <w:rFonts w:hint="eastAsia"/>
        </w:rPr>
        <w:t>设置操作者权限</w:t>
      </w:r>
    </w:p>
    <w:p w14:paraId="1FC6A1A4">
      <w:pPr>
        <w:pStyle w:val="175"/>
        <w:ind w:firstLine="480"/>
      </w:pPr>
      <w:r>
        <w:rPr>
          <w:rFonts w:hint="eastAsia"/>
        </w:rPr>
        <w:t>查看操作日志</w:t>
      </w:r>
    </w:p>
    <w:p w14:paraId="35F6BEEE">
      <w:pPr>
        <w:pStyle w:val="175"/>
        <w:ind w:firstLine="480"/>
      </w:pPr>
      <w:r>
        <w:rPr>
          <w:rFonts w:hint="eastAsia"/>
        </w:rPr>
        <w:t>修改权限密码</w:t>
      </w:r>
    </w:p>
    <w:p w14:paraId="6736DD93">
      <w:pPr>
        <w:pStyle w:val="175"/>
        <w:ind w:firstLine="480"/>
      </w:pPr>
      <w:r>
        <w:rPr>
          <w:rFonts w:hint="eastAsia"/>
        </w:rPr>
        <w:t>设置权限角色、按照角色分配权限</w:t>
      </w:r>
    </w:p>
    <w:p w14:paraId="0CC12CBB">
      <w:pPr>
        <w:pStyle w:val="8"/>
        <w:numPr>
          <w:ilvl w:val="5"/>
          <w:numId w:val="16"/>
        </w:numPr>
      </w:pPr>
      <w:r>
        <w:rPr>
          <w:rFonts w:hint="eastAsia"/>
        </w:rPr>
        <w:t>系统后台管理</w:t>
      </w:r>
    </w:p>
    <w:p w14:paraId="0133C02E">
      <w:pPr>
        <w:pStyle w:val="3"/>
      </w:pPr>
      <w:r>
        <w:rPr>
          <w:rFonts w:hint="eastAsia" w:asciiTheme="minorEastAsia" w:hAnsiTheme="minorEastAsia" w:eastAsiaTheme="minorEastAsia"/>
        </w:rPr>
        <w:t>支持以下功能：</w:t>
      </w:r>
    </w:p>
    <w:p w14:paraId="6EF023CE">
      <w:pPr>
        <w:pStyle w:val="175"/>
        <w:ind w:firstLine="480"/>
      </w:pPr>
      <w:r>
        <w:rPr>
          <w:rFonts w:hint="eastAsia"/>
        </w:rPr>
        <w:t>系统界面皮肤颜色设置</w:t>
      </w:r>
    </w:p>
    <w:p w14:paraId="41765C41">
      <w:pPr>
        <w:pStyle w:val="175"/>
        <w:ind w:firstLine="480"/>
      </w:pPr>
      <w:r>
        <w:rPr>
          <w:rFonts w:hint="eastAsia"/>
        </w:rPr>
        <w:t>页面自由拖拽、组合、排版、定义大小布局</w:t>
      </w:r>
    </w:p>
    <w:p w14:paraId="48BA799B">
      <w:pPr>
        <w:pStyle w:val="175"/>
        <w:ind w:firstLine="480"/>
      </w:pPr>
      <w:r>
        <w:rPr>
          <w:rFonts w:hint="eastAsia"/>
        </w:rPr>
        <w:t>可以配置三种报告审核模式：无审核模式、常规模式、申请审核模式(支持审核不通过退回的功能</w:t>
      </w:r>
    </w:p>
    <w:p w14:paraId="2437738E">
      <w:pPr>
        <w:pStyle w:val="175"/>
        <w:ind w:firstLine="480"/>
      </w:pPr>
      <w:r>
        <w:rPr>
          <w:rFonts w:hint="eastAsia"/>
        </w:rPr>
        <w:t>在HIS/EMR系统配合开发的情况下，可视化配置电子病历路径及参数</w:t>
      </w:r>
    </w:p>
    <w:p w14:paraId="66B469EB">
      <w:pPr>
        <w:pStyle w:val="175"/>
        <w:ind w:firstLine="480"/>
      </w:pPr>
      <w:r>
        <w:rPr>
          <w:rFonts w:hint="eastAsia"/>
        </w:rPr>
        <w:t>病人检查历史记录关联字段选择，提供卡号、放射号、模糊条件关联查询</w:t>
      </w:r>
    </w:p>
    <w:p w14:paraId="4F5D3555">
      <w:pPr>
        <w:pStyle w:val="175"/>
        <w:ind w:firstLine="480"/>
      </w:pPr>
      <w:r>
        <w:rPr>
          <w:rFonts w:hint="eastAsia"/>
        </w:rPr>
        <w:t>DICOM浏览器双屏设置</w:t>
      </w:r>
    </w:p>
    <w:p w14:paraId="10B5D417">
      <w:pPr>
        <w:pStyle w:val="175"/>
        <w:ind w:firstLine="480"/>
      </w:pPr>
      <w:r>
        <w:rPr>
          <w:rFonts w:hint="eastAsia"/>
        </w:rPr>
        <w:t>放射号生成规则设置</w:t>
      </w:r>
    </w:p>
    <w:p w14:paraId="6F49AEEE">
      <w:pPr>
        <w:pStyle w:val="175"/>
        <w:ind w:firstLine="480"/>
      </w:pPr>
      <w:r>
        <w:rPr>
          <w:rFonts w:hint="eastAsia"/>
        </w:rPr>
        <w:t>海量词库维护</w:t>
      </w:r>
    </w:p>
    <w:p w14:paraId="5B44A21D">
      <w:pPr>
        <w:pStyle w:val="175"/>
        <w:ind w:firstLine="480"/>
      </w:pPr>
      <w:r>
        <w:rPr>
          <w:rFonts w:hint="eastAsia"/>
        </w:rPr>
        <w:t>检查测值维护</w:t>
      </w:r>
    </w:p>
    <w:p w14:paraId="13896D70">
      <w:pPr>
        <w:pStyle w:val="175"/>
        <w:ind w:firstLine="480"/>
      </w:pPr>
      <w:r>
        <w:rPr>
          <w:rFonts w:hint="eastAsia"/>
        </w:rPr>
        <w:t>科室医生工作排班管理</w:t>
      </w:r>
    </w:p>
    <w:p w14:paraId="4A6E9DAF">
      <w:pPr>
        <w:pStyle w:val="175"/>
        <w:ind w:firstLine="480"/>
      </w:pPr>
      <w:r>
        <w:rPr>
          <w:rFonts w:hint="eastAsia"/>
        </w:rPr>
        <w:t>删除信息日志管理</w:t>
      </w:r>
    </w:p>
    <w:p w14:paraId="0260D361">
      <w:pPr>
        <w:pStyle w:val="175"/>
        <w:ind w:firstLine="480"/>
      </w:pPr>
      <w:r>
        <w:rPr>
          <w:rFonts w:hint="eastAsia"/>
        </w:rPr>
        <w:t>典型病例管理</w:t>
      </w:r>
    </w:p>
    <w:p w14:paraId="61D6FB48">
      <w:pPr>
        <w:pStyle w:val="175"/>
        <w:ind w:firstLine="480"/>
      </w:pPr>
      <w:r>
        <w:rPr>
          <w:rFonts w:hint="eastAsia"/>
        </w:rPr>
        <w:t>报告模板维护</w:t>
      </w:r>
    </w:p>
    <w:p w14:paraId="12F12922">
      <w:pPr>
        <w:pStyle w:val="175"/>
        <w:ind w:firstLine="480"/>
      </w:pPr>
      <w:r>
        <w:rPr>
          <w:rFonts w:hint="eastAsia"/>
        </w:rPr>
        <w:t>报告样式编辑</w:t>
      </w:r>
    </w:p>
    <w:p w14:paraId="391B30C5">
      <w:pPr>
        <w:pStyle w:val="175"/>
        <w:ind w:firstLine="480"/>
      </w:pPr>
      <w:r>
        <w:rPr>
          <w:rFonts w:hint="eastAsia"/>
        </w:rPr>
        <w:t>可视化的界面设计</w:t>
      </w:r>
    </w:p>
    <w:p w14:paraId="77AA27BD">
      <w:pPr>
        <w:pStyle w:val="175"/>
        <w:ind w:firstLine="480"/>
      </w:pPr>
      <w:r>
        <w:rPr>
          <w:rFonts w:hint="eastAsia"/>
        </w:rPr>
        <w:t>报告编辑段落空格设置</w:t>
      </w:r>
    </w:p>
    <w:p w14:paraId="6A226112">
      <w:pPr>
        <w:pStyle w:val="175"/>
        <w:ind w:firstLine="480"/>
        <w:rPr>
          <w:color w:val="000000"/>
        </w:rPr>
      </w:pPr>
      <w:r>
        <w:rPr>
          <w:rFonts w:hint="eastAsia"/>
        </w:rPr>
        <w:t>新建检查信息默认字段设置</w:t>
      </w:r>
    </w:p>
    <w:p w14:paraId="318E842B">
      <w:pPr>
        <w:pStyle w:val="8"/>
        <w:numPr>
          <w:ilvl w:val="5"/>
          <w:numId w:val="16"/>
        </w:numPr>
      </w:pPr>
      <w:r>
        <w:rPr>
          <w:rFonts w:hint="eastAsia"/>
        </w:rPr>
        <w:t>三维分析软件</w:t>
      </w:r>
    </w:p>
    <w:p w14:paraId="0DF24F66">
      <w:pPr>
        <w:pStyle w:val="175"/>
        <w:ind w:firstLine="480"/>
        <w:rPr>
          <w:rFonts w:ascii="宋体" w:hAnsi="宋体" w:cs="宋体"/>
          <w:sz w:val="20"/>
        </w:rPr>
      </w:pPr>
      <w:r>
        <w:rPr>
          <w:rFonts w:hint="eastAsia"/>
        </w:rPr>
        <w:t>支持以下功能：</w:t>
      </w:r>
    </w:p>
    <w:p w14:paraId="35DB208C">
      <w:pPr>
        <w:pStyle w:val="175"/>
        <w:ind w:firstLine="480"/>
        <w:rPr>
          <w:rFonts w:ascii="宋体" w:hAnsi="宋体" w:cs="宋体"/>
        </w:rPr>
      </w:pPr>
      <w:r>
        <w:rPr>
          <w:rFonts w:hint="eastAsia" w:ascii="宋体" w:hAnsi="宋体" w:cs="宋体"/>
        </w:rPr>
        <w:t>CT\MR图像的MPR重建，支持多种轴位、矢状位、冠状位的显示布局调整</w:t>
      </w:r>
    </w:p>
    <w:p w14:paraId="3ACFF26A">
      <w:pPr>
        <w:pStyle w:val="175"/>
        <w:ind w:firstLine="480"/>
        <w:rPr>
          <w:rFonts w:ascii="宋体" w:hAnsi="宋体" w:cs="宋体"/>
        </w:rPr>
      </w:pPr>
      <w:r>
        <w:rPr>
          <w:rFonts w:hint="eastAsia" w:ascii="宋体" w:hAnsi="宋体" w:cs="宋体"/>
        </w:rPr>
        <w:t>MIP最大密度投影，MinIP最小密度投影，可调厚层及斜面的方式进行影像重建分析</w:t>
      </w:r>
    </w:p>
    <w:p w14:paraId="46BE0408">
      <w:pPr>
        <w:pStyle w:val="175"/>
        <w:ind w:firstLine="480"/>
        <w:rPr>
          <w:rFonts w:ascii="宋体" w:hAnsi="宋体" w:cs="宋体"/>
        </w:rPr>
      </w:pPr>
      <w:r>
        <w:rPr>
          <w:rFonts w:hint="eastAsia" w:ascii="宋体" w:hAnsi="宋体" w:cs="宋体"/>
        </w:rPr>
        <w:t>VR体重建功能： 三维旋转，鼠标密度调窗显示隐藏功能</w:t>
      </w:r>
    </w:p>
    <w:p w14:paraId="704AA068">
      <w:pPr>
        <w:pStyle w:val="175"/>
        <w:ind w:firstLine="480"/>
        <w:rPr>
          <w:rFonts w:ascii="宋体" w:hAnsi="宋体" w:cs="宋体"/>
        </w:rPr>
      </w:pPr>
      <w:r>
        <w:rPr>
          <w:rFonts w:hint="eastAsia" w:ascii="宋体" w:hAnsi="宋体" w:cs="宋体"/>
        </w:rPr>
        <w:t>MPR，VR界面空间光标点关联定位功能，在冠状面、矢状面、横断面和VR体重建界面，光标点关联联动地显示兴趣点的空间关联位置</w:t>
      </w:r>
    </w:p>
    <w:p w14:paraId="1DC162F6">
      <w:pPr>
        <w:pStyle w:val="175"/>
        <w:ind w:firstLine="480"/>
        <w:rPr>
          <w:rFonts w:ascii="宋体" w:hAnsi="宋体" w:cs="宋体"/>
        </w:rPr>
      </w:pPr>
      <w:r>
        <w:rPr>
          <w:rFonts w:hint="eastAsia" w:ascii="宋体" w:hAnsi="宋体" w:cs="宋体"/>
        </w:rPr>
        <w:t>VR三维分割功能：支持CT\MR图像的VR容积重建</w:t>
      </w:r>
    </w:p>
    <w:p w14:paraId="47EB0F96">
      <w:pPr>
        <w:pStyle w:val="175"/>
        <w:ind w:firstLine="480"/>
        <w:rPr>
          <w:rFonts w:ascii="宋体" w:hAnsi="宋体" w:cs="宋体"/>
        </w:rPr>
      </w:pPr>
      <w:r>
        <w:rPr>
          <w:rFonts w:hint="eastAsia" w:ascii="宋体" w:hAnsi="宋体" w:cs="宋体"/>
        </w:rPr>
        <w:t>VR+MIP重建叠加模式：将人体轮廓以SSD表面重建，内部脏器VR方式显示，方便了解内部脏器病灶与外部轮廓的关系。</w:t>
      </w:r>
    </w:p>
    <w:p w14:paraId="7A551E2F">
      <w:pPr>
        <w:pStyle w:val="6"/>
        <w:numPr>
          <w:ilvl w:val="3"/>
          <w:numId w:val="16"/>
        </w:numPr>
      </w:pPr>
      <w:bookmarkStart w:id="228" w:name="_Toc10664"/>
      <w:r>
        <w:rPr>
          <w:rFonts w:hint="eastAsia"/>
        </w:rPr>
        <w:t>内镜信息管理系统</w:t>
      </w:r>
      <w:bookmarkEnd w:id="228"/>
    </w:p>
    <w:p w14:paraId="10681F93">
      <w:pPr>
        <w:pStyle w:val="7"/>
        <w:numPr>
          <w:ilvl w:val="4"/>
          <w:numId w:val="16"/>
        </w:numPr>
      </w:pPr>
      <w:bookmarkStart w:id="229" w:name="_Toc6548"/>
      <w:bookmarkStart w:id="230" w:name="_Toc13880"/>
      <w:r>
        <w:rPr>
          <w:rFonts w:hint="eastAsia" w:ascii="Times New Roman" w:hAnsi="Times New Roman" w:eastAsia="宋体"/>
        </w:rPr>
        <w:t>登记工作站</w:t>
      </w:r>
      <w:bookmarkEnd w:id="229"/>
      <w:bookmarkEnd w:id="230"/>
    </w:p>
    <w:p w14:paraId="279E5FFE">
      <w:pPr>
        <w:pStyle w:val="8"/>
        <w:numPr>
          <w:ilvl w:val="5"/>
          <w:numId w:val="16"/>
        </w:numPr>
      </w:pPr>
      <w:r>
        <w:rPr>
          <w:rFonts w:hint="eastAsia"/>
        </w:rPr>
        <w:t>预约登记</w:t>
      </w:r>
    </w:p>
    <w:p w14:paraId="56FE4F09">
      <w:pPr>
        <w:pStyle w:val="3"/>
      </w:pPr>
      <w:r>
        <w:rPr>
          <w:rFonts w:hint="eastAsia" w:asciiTheme="minorEastAsia" w:hAnsiTheme="minorEastAsia" w:eastAsiaTheme="minorEastAsia"/>
        </w:rPr>
        <w:t>支持以下功能：</w:t>
      </w:r>
    </w:p>
    <w:p w14:paraId="5E47CF1E">
      <w:pPr>
        <w:pStyle w:val="175"/>
        <w:ind w:firstLine="480"/>
      </w:pPr>
      <w:r>
        <w:rPr>
          <w:rFonts w:hint="eastAsia"/>
        </w:rPr>
        <w:t>支持登记病人信息，包括姓名、性别、民族、年龄、住址、收费类别、联系电话、检查日期、 检查部位、简单病史等基本信息。</w:t>
      </w:r>
    </w:p>
    <w:p w14:paraId="497C7A0C">
      <w:pPr>
        <w:pStyle w:val="175"/>
        <w:ind w:firstLine="480"/>
      </w:pPr>
      <w:r>
        <w:rPr>
          <w:rFonts w:hint="eastAsia"/>
        </w:rPr>
        <w:t>登记关键字后自动联想历史检查，历史检查信息快速调用登记</w:t>
      </w:r>
    </w:p>
    <w:p w14:paraId="50E9F124">
      <w:pPr>
        <w:pStyle w:val="175"/>
        <w:ind w:firstLine="480"/>
      </w:pPr>
      <w:r>
        <w:rPr>
          <w:rFonts w:hint="eastAsia"/>
        </w:rPr>
        <w:t>支持全键盘快速登记</w:t>
      </w:r>
    </w:p>
    <w:p w14:paraId="431BC299">
      <w:pPr>
        <w:pStyle w:val="175"/>
        <w:ind w:firstLine="480"/>
      </w:pPr>
      <w:r>
        <w:rPr>
          <w:rFonts w:hint="eastAsia"/>
        </w:rPr>
        <w:t>支持检查登记选择预约时间</w:t>
      </w:r>
    </w:p>
    <w:p w14:paraId="025B8C3F">
      <w:pPr>
        <w:pStyle w:val="175"/>
        <w:ind w:firstLine="480"/>
      </w:pPr>
      <w:r>
        <w:rPr>
          <w:rFonts w:hint="eastAsia"/>
        </w:rPr>
        <w:t>支持保存登记信息时弹框显示影像号与排队号，同时一键打印条码或者预约单</w:t>
      </w:r>
    </w:p>
    <w:p w14:paraId="4CE3671D">
      <w:pPr>
        <w:pStyle w:val="175"/>
        <w:ind w:firstLine="480"/>
      </w:pPr>
      <w:r>
        <w:rPr>
          <w:rFonts w:hint="eastAsia"/>
        </w:rPr>
        <w:t>在HIS/体检等第三方系统配合开发的情况下，支持直接通过HIS或第三方接口快速刷卡登记</w:t>
      </w:r>
    </w:p>
    <w:p w14:paraId="2A7CDE59">
      <w:pPr>
        <w:pStyle w:val="175"/>
        <w:ind w:firstLine="480"/>
      </w:pPr>
      <w:r>
        <w:rPr>
          <w:rFonts w:hint="eastAsia"/>
        </w:rPr>
        <w:t>自动合并同一病人的多条医嘱数据，自动计算费用单据</w:t>
      </w:r>
    </w:p>
    <w:p w14:paraId="6650DDDB">
      <w:pPr>
        <w:pStyle w:val="175"/>
        <w:ind w:firstLine="480"/>
      </w:pPr>
      <w:r>
        <w:rPr>
          <w:rFonts w:hint="eastAsia"/>
        </w:rPr>
        <w:t>自动关联用户一键保存控件布局</w:t>
      </w:r>
    </w:p>
    <w:p w14:paraId="7C0A8F8D">
      <w:pPr>
        <w:pStyle w:val="175"/>
        <w:ind w:firstLine="480"/>
      </w:pPr>
      <w:r>
        <w:rPr>
          <w:rFonts w:hint="eastAsia"/>
        </w:rPr>
        <w:t>用户偏好设置</w:t>
      </w:r>
    </w:p>
    <w:p w14:paraId="0BE2B4B8">
      <w:pPr>
        <w:pStyle w:val="175"/>
        <w:ind w:firstLine="480"/>
      </w:pPr>
      <w:r>
        <w:rPr>
          <w:rFonts w:hint="eastAsia"/>
        </w:rPr>
        <w:t>新建病人检查信息默认规则设置</w:t>
      </w:r>
    </w:p>
    <w:p w14:paraId="463A84D8">
      <w:pPr>
        <w:pStyle w:val="175"/>
        <w:ind w:firstLine="480"/>
      </w:pPr>
      <w:r>
        <w:rPr>
          <w:rFonts w:hint="eastAsia"/>
        </w:rPr>
        <w:t>鼠标键盘静止超过设定时间自动锁定或者手动锁定用户</w:t>
      </w:r>
    </w:p>
    <w:p w14:paraId="513D784C">
      <w:pPr>
        <w:pStyle w:val="175"/>
        <w:ind w:firstLine="480"/>
      </w:pPr>
      <w:r>
        <w:rPr>
          <w:rFonts w:hint="eastAsia"/>
        </w:rPr>
        <w:t>登记病人信息可以选择是否在叫号大屏显示</w:t>
      </w:r>
    </w:p>
    <w:p w14:paraId="112985C9">
      <w:pPr>
        <w:pStyle w:val="175"/>
        <w:ind w:firstLine="480"/>
      </w:pPr>
      <w:r>
        <w:rPr>
          <w:rFonts w:hint="eastAsia"/>
        </w:rPr>
        <w:t>支持患者信息再次登记，保留同一病人信息</w:t>
      </w:r>
    </w:p>
    <w:p w14:paraId="321B6672">
      <w:pPr>
        <w:pStyle w:val="175"/>
        <w:ind w:firstLine="480"/>
      </w:pPr>
      <w:r>
        <w:rPr>
          <w:rFonts w:hint="eastAsia"/>
        </w:rPr>
        <w:t>支持绿色通道和急诊患者快速登记</w:t>
      </w:r>
    </w:p>
    <w:p w14:paraId="2CCEBFE6">
      <w:pPr>
        <w:pStyle w:val="8"/>
        <w:numPr>
          <w:ilvl w:val="5"/>
          <w:numId w:val="16"/>
        </w:numPr>
      </w:pPr>
      <w:r>
        <w:rPr>
          <w:rFonts w:hint="eastAsia"/>
        </w:rPr>
        <w:t>分诊叫号</w:t>
      </w:r>
    </w:p>
    <w:p w14:paraId="0CF91444">
      <w:pPr>
        <w:pStyle w:val="3"/>
      </w:pPr>
      <w:r>
        <w:rPr>
          <w:rFonts w:hint="eastAsia" w:asciiTheme="minorEastAsia" w:hAnsiTheme="minorEastAsia" w:eastAsiaTheme="minorEastAsia"/>
        </w:rPr>
        <w:t>支持以下功能：</w:t>
      </w:r>
    </w:p>
    <w:p w14:paraId="62745DB8">
      <w:pPr>
        <w:pStyle w:val="175"/>
        <w:ind w:firstLine="480"/>
      </w:pPr>
      <w:r>
        <w:rPr>
          <w:rFonts w:hint="eastAsia"/>
        </w:rPr>
        <w:t>支持实时查看各诊室或队列列表未检查患者、已呼叫病人、挂起的病人人数，从而进行合理分配</w:t>
      </w:r>
    </w:p>
    <w:p w14:paraId="39F110E3">
      <w:pPr>
        <w:pStyle w:val="175"/>
        <w:ind w:firstLine="480"/>
      </w:pPr>
      <w:r>
        <w:rPr>
          <w:rFonts w:hint="eastAsia"/>
        </w:rPr>
        <w:t>支持叫号、重呼、挂起等基本操作</w:t>
      </w:r>
    </w:p>
    <w:p w14:paraId="3DB4607F">
      <w:pPr>
        <w:pStyle w:val="175"/>
        <w:ind w:firstLine="480"/>
      </w:pPr>
      <w:r>
        <w:rPr>
          <w:rFonts w:hint="eastAsia"/>
        </w:rPr>
        <w:t>支持自定义叫号内容，广播通知以及呼叫患者家属</w:t>
      </w:r>
    </w:p>
    <w:p w14:paraId="25BFEC20">
      <w:pPr>
        <w:pStyle w:val="175"/>
        <w:ind w:firstLine="480"/>
      </w:pPr>
      <w:r>
        <w:rPr>
          <w:rFonts w:hint="eastAsia"/>
        </w:rPr>
        <w:t>支持自动生成排队号</w:t>
      </w:r>
    </w:p>
    <w:p w14:paraId="663D6999">
      <w:pPr>
        <w:pStyle w:val="175"/>
        <w:ind w:firstLine="480"/>
      </w:pPr>
      <w:r>
        <w:rPr>
          <w:rFonts w:hint="eastAsia"/>
        </w:rPr>
        <w:t>支持诊室列表切换、日期切换</w:t>
      </w:r>
    </w:p>
    <w:p w14:paraId="6FB1BC7C">
      <w:pPr>
        <w:pStyle w:val="175"/>
        <w:ind w:firstLine="480"/>
      </w:pPr>
      <w:r>
        <w:rPr>
          <w:rFonts w:hint="eastAsia"/>
        </w:rPr>
        <w:t>支持诊室队列维护、叫号内容调整</w:t>
      </w:r>
    </w:p>
    <w:p w14:paraId="065249BA">
      <w:pPr>
        <w:pStyle w:val="175"/>
        <w:ind w:firstLine="480"/>
      </w:pPr>
      <w:r>
        <w:rPr>
          <w:rFonts w:hint="eastAsia"/>
        </w:rPr>
        <w:t>支持键盘快捷键叫号、重呼、结诊、挂起</w:t>
      </w:r>
    </w:p>
    <w:p w14:paraId="68F51E9C">
      <w:pPr>
        <w:pStyle w:val="175"/>
        <w:ind w:firstLine="480"/>
      </w:pPr>
      <w:r>
        <w:rPr>
          <w:rFonts w:hint="eastAsia"/>
        </w:rPr>
        <w:t>支持手柄叫号</w:t>
      </w:r>
    </w:p>
    <w:p w14:paraId="30211E43">
      <w:pPr>
        <w:pStyle w:val="3"/>
      </w:pPr>
      <w:r>
        <w:rPr>
          <w:rFonts w:hint="eastAsia" w:asciiTheme="minorEastAsia" w:hAnsiTheme="minorEastAsia" w:eastAsiaTheme="minorEastAsia"/>
        </w:rPr>
        <w:t>支持</w:t>
      </w:r>
      <w:r>
        <w:rPr>
          <w:rFonts w:hint="eastAsia"/>
        </w:rPr>
        <w:t>排队病人优先级指定，排队病人前后移动，队列转移</w:t>
      </w:r>
    </w:p>
    <w:p w14:paraId="0F7E552B">
      <w:pPr>
        <w:pStyle w:val="175"/>
        <w:ind w:firstLine="480"/>
      </w:pPr>
      <w:r>
        <w:rPr>
          <w:rFonts w:hint="eastAsia"/>
        </w:rPr>
        <w:t>支持跨诊室叫号</w:t>
      </w:r>
    </w:p>
    <w:p w14:paraId="3A18C0FF">
      <w:pPr>
        <w:pStyle w:val="7"/>
        <w:numPr>
          <w:ilvl w:val="4"/>
          <w:numId w:val="16"/>
        </w:numPr>
      </w:pPr>
      <w:bookmarkStart w:id="231" w:name="_Toc19945"/>
      <w:bookmarkStart w:id="232" w:name="_Toc29489"/>
      <w:r>
        <w:rPr>
          <w:rFonts w:hint="eastAsia"/>
        </w:rPr>
        <w:t>报告工作站</w:t>
      </w:r>
      <w:bookmarkEnd w:id="231"/>
      <w:bookmarkEnd w:id="232"/>
    </w:p>
    <w:p w14:paraId="0D9BE2CC">
      <w:pPr>
        <w:pStyle w:val="8"/>
        <w:numPr>
          <w:ilvl w:val="5"/>
          <w:numId w:val="16"/>
        </w:numPr>
      </w:pPr>
      <w:r>
        <w:rPr>
          <w:rFonts w:hint="eastAsia"/>
        </w:rPr>
        <w:t>诊室叫号</w:t>
      </w:r>
    </w:p>
    <w:p w14:paraId="03510A27">
      <w:pPr>
        <w:pStyle w:val="3"/>
      </w:pPr>
      <w:r>
        <w:rPr>
          <w:rFonts w:hint="eastAsia" w:asciiTheme="minorEastAsia" w:hAnsiTheme="minorEastAsia" w:eastAsiaTheme="minorEastAsia"/>
        </w:rPr>
        <w:t>支持以下功能：</w:t>
      </w:r>
    </w:p>
    <w:p w14:paraId="15174B74">
      <w:pPr>
        <w:pStyle w:val="175"/>
        <w:ind w:firstLine="480"/>
      </w:pPr>
      <w:r>
        <w:rPr>
          <w:rFonts w:hint="eastAsia"/>
        </w:rPr>
        <w:t>支持实时查看本诊室或队列列表排队患者</w:t>
      </w:r>
    </w:p>
    <w:p w14:paraId="53E31B60">
      <w:pPr>
        <w:pStyle w:val="175"/>
        <w:ind w:firstLine="480"/>
      </w:pPr>
      <w:r>
        <w:rPr>
          <w:rFonts w:hint="eastAsia"/>
        </w:rPr>
        <w:t>支持按照顺序对排队患者进行语音叫号的功能</w:t>
      </w:r>
    </w:p>
    <w:p w14:paraId="3CBD3567">
      <w:pPr>
        <w:pStyle w:val="175"/>
        <w:ind w:firstLine="480"/>
      </w:pPr>
      <w:r>
        <w:rPr>
          <w:rFonts w:hint="eastAsia"/>
        </w:rPr>
        <w:t>支持转诊功能</w:t>
      </w:r>
    </w:p>
    <w:p w14:paraId="7298E35A">
      <w:pPr>
        <w:pStyle w:val="175"/>
        <w:ind w:firstLine="480"/>
      </w:pPr>
      <w:r>
        <w:rPr>
          <w:rFonts w:hint="eastAsia"/>
        </w:rPr>
        <w:t>支持选择患者进行叫号的功能</w:t>
      </w:r>
    </w:p>
    <w:p w14:paraId="1C28C5F7">
      <w:pPr>
        <w:pStyle w:val="175"/>
        <w:ind w:firstLine="480"/>
      </w:pPr>
      <w:r>
        <w:rPr>
          <w:rFonts w:hint="eastAsia"/>
        </w:rPr>
        <w:t>支持把患者挂起的功能</w:t>
      </w:r>
    </w:p>
    <w:p w14:paraId="2BAAB5FF">
      <w:pPr>
        <w:pStyle w:val="175"/>
        <w:ind w:firstLine="480"/>
      </w:pPr>
      <w:r>
        <w:rPr>
          <w:rFonts w:hint="eastAsia"/>
        </w:rPr>
        <w:t>支持把挂起患者重新归队的功能</w:t>
      </w:r>
    </w:p>
    <w:p w14:paraId="62114F0E">
      <w:pPr>
        <w:pStyle w:val="8"/>
        <w:numPr>
          <w:ilvl w:val="5"/>
          <w:numId w:val="16"/>
        </w:numPr>
      </w:pPr>
      <w:r>
        <w:rPr>
          <w:rFonts w:hint="eastAsia"/>
        </w:rPr>
        <w:t>图像采集软件</w:t>
      </w:r>
    </w:p>
    <w:p w14:paraId="7CDCCA71">
      <w:pPr>
        <w:pStyle w:val="3"/>
      </w:pPr>
      <w:r>
        <w:rPr>
          <w:rFonts w:hint="eastAsia" w:asciiTheme="minorEastAsia" w:hAnsiTheme="minorEastAsia" w:eastAsiaTheme="minorEastAsia"/>
        </w:rPr>
        <w:t>支持以下功能：</w:t>
      </w:r>
    </w:p>
    <w:p w14:paraId="7A96BB1F">
      <w:pPr>
        <w:pStyle w:val="175"/>
        <w:ind w:firstLine="480"/>
      </w:pPr>
      <w:r>
        <w:rPr>
          <w:rFonts w:hint="eastAsia"/>
        </w:rPr>
        <w:t>支持单帧视频图像采集：支持 NTSC、PAL、S-Video、RGB 等视频信号采集。图像格式可为 JPG、bmp 等格式，并可对图像进行处理。</w:t>
      </w:r>
    </w:p>
    <w:p w14:paraId="2FB152A3">
      <w:pPr>
        <w:pStyle w:val="175"/>
        <w:ind w:firstLine="480"/>
      </w:pPr>
      <w:r>
        <w:rPr>
          <w:rFonts w:hint="eastAsia"/>
        </w:rPr>
        <w:t>支持采集卡API和DSHOW方式进行图像采集，支持视频录像，并对视频进行压缩。</w:t>
      </w:r>
    </w:p>
    <w:p w14:paraId="6C319228">
      <w:pPr>
        <w:pStyle w:val="175"/>
        <w:ind w:firstLine="480"/>
      </w:pPr>
      <w:r>
        <w:rPr>
          <w:rFonts w:hint="eastAsia"/>
        </w:rPr>
        <w:t>支持高清采集卡，支持1920x1080p分辨率显示动态图像</w:t>
      </w:r>
    </w:p>
    <w:p w14:paraId="0FC4FCCD">
      <w:pPr>
        <w:pStyle w:val="175"/>
        <w:ind w:firstLine="480"/>
      </w:pPr>
      <w:r>
        <w:rPr>
          <w:rFonts w:hint="eastAsia"/>
        </w:rPr>
        <w:t>支持同步或者异步采集图像</w:t>
      </w:r>
    </w:p>
    <w:p w14:paraId="3EDFB9DA">
      <w:pPr>
        <w:pStyle w:val="175"/>
        <w:ind w:firstLine="480"/>
      </w:pPr>
      <w:r>
        <w:rPr>
          <w:rFonts w:hint="eastAsia"/>
        </w:rPr>
        <w:t>支持采集图像同时有声音提示，支持电脑蜂鸣器和音箱输出采图声音</w:t>
      </w:r>
    </w:p>
    <w:p w14:paraId="7D4438AF">
      <w:pPr>
        <w:pStyle w:val="175"/>
        <w:ind w:firstLine="480"/>
      </w:pPr>
      <w:r>
        <w:rPr>
          <w:rFonts w:hint="eastAsia"/>
        </w:rPr>
        <w:t>支持报告图片排序规则、图片大小设置</w:t>
      </w:r>
    </w:p>
    <w:p w14:paraId="3D44570A">
      <w:pPr>
        <w:pStyle w:val="175"/>
        <w:ind w:firstLine="480"/>
      </w:pPr>
      <w:r>
        <w:rPr>
          <w:rFonts w:hint="eastAsia"/>
        </w:rPr>
        <w:t>支持图像部位标注、图像编辑</w:t>
      </w:r>
    </w:p>
    <w:p w14:paraId="283631D7">
      <w:pPr>
        <w:pStyle w:val="175"/>
        <w:ind w:firstLine="480"/>
      </w:pPr>
      <w:r>
        <w:rPr>
          <w:rFonts w:hint="eastAsia"/>
        </w:rPr>
        <w:t>支持多种默认图像伪彩协议、自定义伪彩协议设定</w:t>
      </w:r>
    </w:p>
    <w:p w14:paraId="4D9694B1">
      <w:pPr>
        <w:pStyle w:val="175"/>
        <w:ind w:firstLine="480"/>
      </w:pPr>
      <w:r>
        <w:rPr>
          <w:rFonts w:hint="eastAsia"/>
        </w:rPr>
        <w:t>支持快捷打印超声图像</w:t>
      </w:r>
    </w:p>
    <w:p w14:paraId="795A9F1B">
      <w:pPr>
        <w:pStyle w:val="175"/>
        <w:ind w:firstLine="480"/>
      </w:pPr>
      <w:r>
        <w:rPr>
          <w:rFonts w:hint="eastAsia"/>
        </w:rPr>
        <w:t>支持图像导入和导出</w:t>
      </w:r>
    </w:p>
    <w:p w14:paraId="05CDD069">
      <w:pPr>
        <w:pStyle w:val="175"/>
        <w:ind w:firstLine="480"/>
      </w:pPr>
      <w:r>
        <w:rPr>
          <w:rFonts w:hint="eastAsia"/>
        </w:rPr>
        <w:t>支持对图像定标长度测量</w:t>
      </w:r>
    </w:p>
    <w:p w14:paraId="372E2C3E">
      <w:pPr>
        <w:pStyle w:val="175"/>
        <w:ind w:firstLine="480"/>
      </w:pPr>
      <w:r>
        <w:rPr>
          <w:rFonts w:hint="eastAsia"/>
        </w:rPr>
        <w:t>支持多个镜头切换采集内镜图像</w:t>
      </w:r>
    </w:p>
    <w:p w14:paraId="387F3084">
      <w:pPr>
        <w:pStyle w:val="8"/>
        <w:numPr>
          <w:ilvl w:val="5"/>
          <w:numId w:val="16"/>
        </w:numPr>
      </w:pPr>
      <w:r>
        <w:rPr>
          <w:rFonts w:hint="eastAsia"/>
        </w:rPr>
        <w:t>工作列表</w:t>
      </w:r>
    </w:p>
    <w:p w14:paraId="739E862E">
      <w:pPr>
        <w:pStyle w:val="3"/>
      </w:pPr>
      <w:r>
        <w:rPr>
          <w:rFonts w:hint="eastAsia" w:asciiTheme="minorEastAsia" w:hAnsiTheme="minorEastAsia" w:eastAsiaTheme="minorEastAsia"/>
        </w:rPr>
        <w:t>支持以下功能：</w:t>
      </w:r>
    </w:p>
    <w:p w14:paraId="414EC69D">
      <w:pPr>
        <w:pStyle w:val="175"/>
        <w:ind w:firstLine="480"/>
      </w:pPr>
      <w:r>
        <w:rPr>
          <w:rFonts w:hint="eastAsia"/>
        </w:rPr>
        <w:t>支持查看本诊室未完成患者数据</w:t>
      </w:r>
    </w:p>
    <w:p w14:paraId="057E085A">
      <w:pPr>
        <w:pStyle w:val="175"/>
        <w:ind w:firstLine="480"/>
      </w:pPr>
      <w:r>
        <w:rPr>
          <w:rFonts w:hint="eastAsia"/>
        </w:rPr>
        <w:t>支持通过工作列表快速切换患者</w:t>
      </w:r>
    </w:p>
    <w:p w14:paraId="4C1F60CD">
      <w:pPr>
        <w:pStyle w:val="175"/>
        <w:ind w:firstLine="480"/>
      </w:pPr>
      <w:r>
        <w:rPr>
          <w:rFonts w:hint="eastAsia"/>
        </w:rPr>
        <w:t>支持3）异步采集图像，报告编辑与图像采集可以在不同患者之间独立操作</w:t>
      </w:r>
    </w:p>
    <w:p w14:paraId="486C9687">
      <w:pPr>
        <w:pStyle w:val="8"/>
        <w:numPr>
          <w:ilvl w:val="5"/>
          <w:numId w:val="16"/>
        </w:numPr>
      </w:pPr>
      <w:r>
        <w:rPr>
          <w:rFonts w:hint="eastAsia"/>
        </w:rPr>
        <w:t>报告处理软件</w:t>
      </w:r>
    </w:p>
    <w:p w14:paraId="5E5E4BA8">
      <w:pPr>
        <w:pStyle w:val="3"/>
      </w:pPr>
      <w:r>
        <w:rPr>
          <w:rFonts w:hint="eastAsia" w:asciiTheme="minorEastAsia" w:hAnsiTheme="minorEastAsia" w:eastAsiaTheme="minorEastAsia"/>
        </w:rPr>
        <w:t>支持以下功能：</w:t>
      </w:r>
    </w:p>
    <w:p w14:paraId="7C16D8D9">
      <w:pPr>
        <w:pStyle w:val="175"/>
        <w:ind w:firstLine="480"/>
      </w:pPr>
      <w:r>
        <w:rPr>
          <w:rFonts w:hint="eastAsia"/>
        </w:rPr>
        <w:t>支持报告模板树形管理结构，根据检查类型自动锁定模板内容</w:t>
      </w:r>
    </w:p>
    <w:p w14:paraId="3A7E63A5">
      <w:pPr>
        <w:pStyle w:val="175"/>
        <w:ind w:firstLine="480"/>
      </w:pPr>
      <w:r>
        <w:rPr>
          <w:rFonts w:hint="eastAsia"/>
        </w:rPr>
        <w:t>支持系统模板和个人私有模板</w:t>
      </w:r>
    </w:p>
    <w:p w14:paraId="09F24AA8">
      <w:pPr>
        <w:pStyle w:val="175"/>
        <w:ind w:firstLine="480"/>
      </w:pPr>
      <w:r>
        <w:rPr>
          <w:rFonts w:hint="eastAsia"/>
        </w:rPr>
        <w:t>支持报告内容超链接提示，右键点击下拉选择词库</w:t>
      </w:r>
    </w:p>
    <w:p w14:paraId="591DA4C3">
      <w:pPr>
        <w:pStyle w:val="175"/>
        <w:ind w:firstLine="480"/>
      </w:pPr>
      <w:r>
        <w:rPr>
          <w:rFonts w:hint="eastAsia"/>
        </w:rPr>
        <w:t>支持报告内容用词禁忌提示</w:t>
      </w:r>
    </w:p>
    <w:p w14:paraId="6643EC1F">
      <w:pPr>
        <w:pStyle w:val="175"/>
        <w:ind w:firstLine="480"/>
      </w:pPr>
      <w:r>
        <w:rPr>
          <w:rFonts w:hint="eastAsia"/>
        </w:rPr>
        <w:t>支持二级审核、三级审核模式</w:t>
      </w:r>
    </w:p>
    <w:p w14:paraId="773B7365">
      <w:pPr>
        <w:pStyle w:val="175"/>
        <w:ind w:firstLine="480"/>
      </w:pPr>
      <w:r>
        <w:rPr>
          <w:rFonts w:hint="eastAsia"/>
        </w:rPr>
        <w:t>支持报告审核退回功能，记录退回原因，发回报告医师重新书写</w:t>
      </w:r>
    </w:p>
    <w:p w14:paraId="4A4DECAE">
      <w:pPr>
        <w:pStyle w:val="175"/>
        <w:ind w:firstLine="480"/>
      </w:pPr>
      <w:r>
        <w:rPr>
          <w:rFonts w:hint="eastAsia"/>
        </w:rPr>
        <w:t>支持保存报告时自动判断是否填写阴阳性</w:t>
      </w:r>
    </w:p>
    <w:p w14:paraId="3FF062A9">
      <w:pPr>
        <w:pStyle w:val="175"/>
        <w:ind w:firstLine="480"/>
      </w:pPr>
      <w:r>
        <w:rPr>
          <w:rFonts w:hint="eastAsia"/>
        </w:rPr>
        <w:t>支持关联报告附注到报告单</w:t>
      </w:r>
    </w:p>
    <w:p w14:paraId="1B25541A">
      <w:pPr>
        <w:pStyle w:val="175"/>
        <w:ind w:firstLine="480"/>
      </w:pPr>
      <w:r>
        <w:rPr>
          <w:rFonts w:hint="eastAsia"/>
        </w:rPr>
        <w:t>支持查看申请单图片或者电子申请单</w:t>
      </w:r>
    </w:p>
    <w:p w14:paraId="0A968FDA">
      <w:pPr>
        <w:pStyle w:val="175"/>
        <w:ind w:firstLine="480"/>
      </w:pPr>
      <w:r>
        <w:rPr>
          <w:rFonts w:hint="eastAsia"/>
        </w:rPr>
        <w:t>支持报告预览界面选择报告图片数量、报告类型、调整字体大小、报告样式、打印机等</w:t>
      </w:r>
    </w:p>
    <w:p w14:paraId="30C5420B">
      <w:pPr>
        <w:pStyle w:val="175"/>
        <w:ind w:firstLine="480"/>
      </w:pPr>
      <w:r>
        <w:rPr>
          <w:rFonts w:hint="eastAsia"/>
        </w:rPr>
        <w:t>支持危急值维护和提交</w:t>
      </w:r>
    </w:p>
    <w:p w14:paraId="42917EA0">
      <w:pPr>
        <w:pStyle w:val="175"/>
        <w:ind w:firstLine="480"/>
      </w:pPr>
      <w:r>
        <w:rPr>
          <w:rFonts w:hint="eastAsia"/>
        </w:rPr>
        <w:t>支持在已选报告图像选择图像标注</w:t>
      </w:r>
    </w:p>
    <w:p w14:paraId="10EFE710">
      <w:pPr>
        <w:pStyle w:val="175"/>
        <w:ind w:firstLine="480"/>
      </w:pPr>
      <w:r>
        <w:rPr>
          <w:rFonts w:hint="eastAsia"/>
        </w:rPr>
        <w:t>支持已打印发布报告追回的功能</w:t>
      </w:r>
    </w:p>
    <w:p w14:paraId="7537E44F">
      <w:pPr>
        <w:pStyle w:val="175"/>
        <w:ind w:firstLine="480"/>
      </w:pPr>
      <w:r>
        <w:rPr>
          <w:rFonts w:hint="eastAsia"/>
        </w:rPr>
        <w:t>支持按指定时间和医生角色开启临时报告</w:t>
      </w:r>
    </w:p>
    <w:p w14:paraId="6612D050">
      <w:pPr>
        <w:pStyle w:val="175"/>
        <w:ind w:firstLine="480"/>
      </w:pPr>
      <w:r>
        <w:rPr>
          <w:rFonts w:hint="eastAsia"/>
        </w:rPr>
        <w:t>支持查看该患者既往检查的报告、图像用来对比，支持导入报告到当前患者</w:t>
      </w:r>
    </w:p>
    <w:p w14:paraId="7107A9E1">
      <w:pPr>
        <w:pStyle w:val="175"/>
        <w:ind w:firstLine="480"/>
      </w:pPr>
      <w:r>
        <w:rPr>
          <w:rFonts w:hint="eastAsia"/>
        </w:rPr>
        <w:t>检查记录、报告痕迹跟踪</w:t>
      </w:r>
    </w:p>
    <w:p w14:paraId="56C407D7">
      <w:pPr>
        <w:pStyle w:val="175"/>
        <w:ind w:firstLine="480"/>
      </w:pPr>
      <w:r>
        <w:rPr>
          <w:rFonts w:hint="eastAsia"/>
        </w:rPr>
        <w:t>报告痕迹对比列表：当前报告信息与历史检查的报告信息对比；当前报告信息与检查记录中的修改记录对比；以不同颜色突出显示修改痕迹</w:t>
      </w:r>
    </w:p>
    <w:p w14:paraId="6760ECD0">
      <w:pPr>
        <w:pStyle w:val="175"/>
        <w:ind w:firstLine="480"/>
      </w:pPr>
      <w:r>
        <w:rPr>
          <w:rFonts w:hint="eastAsia"/>
        </w:rPr>
        <w:t>支持危急值智能提醒功能，并且弹框勾选对应的危急值</w:t>
      </w:r>
    </w:p>
    <w:p w14:paraId="3C217C94">
      <w:pPr>
        <w:pStyle w:val="175"/>
        <w:ind w:firstLine="480"/>
      </w:pPr>
      <w:r>
        <w:rPr>
          <w:rFonts w:hint="eastAsia"/>
        </w:rPr>
        <w:t>支持通过第三方接口实现危急值闭环管理</w:t>
      </w:r>
    </w:p>
    <w:p w14:paraId="24E1A9DF">
      <w:pPr>
        <w:pStyle w:val="8"/>
        <w:numPr>
          <w:ilvl w:val="5"/>
          <w:numId w:val="16"/>
        </w:numPr>
        <w:rPr>
          <w:rFonts w:eastAsia="宋体"/>
        </w:rPr>
      </w:pPr>
      <w:r>
        <w:rPr>
          <w:rFonts w:hint="eastAsia" w:eastAsia="宋体"/>
        </w:rPr>
        <w:t>病历管理</w:t>
      </w:r>
    </w:p>
    <w:p w14:paraId="18A7000C">
      <w:pPr>
        <w:pStyle w:val="3"/>
      </w:pPr>
      <w:r>
        <w:rPr>
          <w:rFonts w:hint="eastAsia" w:asciiTheme="minorEastAsia" w:hAnsiTheme="minorEastAsia" w:eastAsiaTheme="minorEastAsia"/>
        </w:rPr>
        <w:t>支持以下功能：</w:t>
      </w:r>
    </w:p>
    <w:p w14:paraId="39831C8F">
      <w:pPr>
        <w:pStyle w:val="175"/>
        <w:ind w:firstLine="480"/>
      </w:pPr>
      <w:r>
        <w:rPr>
          <w:rFonts w:hint="eastAsia"/>
        </w:rPr>
        <w:t>支持按病人编号、病人姓名、性别、年龄、检查日期、检查号、诊断医师、申请科室、设备 类型、检查部位、申请医师、报告医师、操作医师、审核医师、显示诊断结论、、显示报告状态、显示审核状态等查询条件查询患者，并打开患者报告。</w:t>
      </w:r>
    </w:p>
    <w:p w14:paraId="5406896A">
      <w:pPr>
        <w:pStyle w:val="175"/>
        <w:ind w:firstLine="480"/>
      </w:pPr>
      <w:r>
        <w:rPr>
          <w:rFonts w:hint="eastAsia"/>
        </w:rPr>
        <w:t>支持以不同颜色区分不同的检查状态，按检查状态快速查询所需检查记录</w:t>
      </w:r>
    </w:p>
    <w:p w14:paraId="7EAA49EE">
      <w:pPr>
        <w:pStyle w:val="175"/>
        <w:ind w:firstLine="480"/>
      </w:pPr>
      <w:r>
        <w:rPr>
          <w:rFonts w:hint="eastAsia"/>
        </w:rPr>
        <w:t>支持列表与队列二种排版方式</w:t>
      </w:r>
    </w:p>
    <w:p w14:paraId="1C81CAEA">
      <w:pPr>
        <w:pStyle w:val="175"/>
        <w:ind w:firstLine="480"/>
      </w:pPr>
      <w:r>
        <w:rPr>
          <w:rFonts w:hint="eastAsia"/>
        </w:rPr>
        <w:t>支持建立患者随访库、典型病历</w:t>
      </w:r>
    </w:p>
    <w:p w14:paraId="751E9816">
      <w:pPr>
        <w:pStyle w:val="175"/>
        <w:ind w:firstLine="480"/>
      </w:pPr>
      <w:r>
        <w:rPr>
          <w:rFonts w:hint="eastAsia"/>
        </w:rPr>
        <w:t>支持查看患者既往病历、申请单、报告、条码等数据</w:t>
      </w:r>
    </w:p>
    <w:p w14:paraId="03BD2383">
      <w:pPr>
        <w:pStyle w:val="175"/>
        <w:ind w:firstLine="480"/>
      </w:pPr>
      <w:r>
        <w:rPr>
          <w:rFonts w:hint="eastAsia"/>
        </w:rPr>
        <w:t>支持患者数据导出</w:t>
      </w:r>
    </w:p>
    <w:p w14:paraId="64646BFD">
      <w:pPr>
        <w:pStyle w:val="175"/>
        <w:ind w:firstLine="480"/>
      </w:pPr>
      <w:r>
        <w:rPr>
          <w:rFonts w:hint="eastAsia"/>
        </w:rPr>
        <w:t>支持检查列表字段的调节</w:t>
      </w:r>
    </w:p>
    <w:p w14:paraId="7ADDCE34">
      <w:pPr>
        <w:pStyle w:val="175"/>
        <w:ind w:firstLine="480"/>
      </w:pPr>
      <w:r>
        <w:rPr>
          <w:rFonts w:hint="eastAsia"/>
        </w:rPr>
        <w:t>支持报告补打、批量打印</w:t>
      </w:r>
    </w:p>
    <w:p w14:paraId="051FFFA5">
      <w:pPr>
        <w:pStyle w:val="175"/>
        <w:ind w:firstLine="480"/>
      </w:pPr>
      <w:r>
        <w:rPr>
          <w:rFonts w:hint="eastAsia"/>
        </w:rPr>
        <w:t>支持患者痕迹查询</w:t>
      </w:r>
    </w:p>
    <w:p w14:paraId="2E29C018">
      <w:pPr>
        <w:pStyle w:val="7"/>
        <w:numPr>
          <w:ilvl w:val="4"/>
          <w:numId w:val="16"/>
        </w:numPr>
      </w:pPr>
      <w:bookmarkStart w:id="233" w:name="_Toc1433"/>
      <w:bookmarkStart w:id="234" w:name="_Toc4558"/>
      <w:r>
        <w:rPr>
          <w:rFonts w:hint="eastAsia"/>
        </w:rPr>
        <w:t>主任管理工作站</w:t>
      </w:r>
      <w:bookmarkEnd w:id="233"/>
      <w:bookmarkEnd w:id="234"/>
    </w:p>
    <w:p w14:paraId="0EBD5EC4">
      <w:pPr>
        <w:pStyle w:val="8"/>
        <w:numPr>
          <w:ilvl w:val="5"/>
          <w:numId w:val="16"/>
        </w:numPr>
      </w:pPr>
      <w:r>
        <w:rPr>
          <w:rFonts w:hint="eastAsia"/>
        </w:rPr>
        <w:t>具备医师工作站所有功能</w:t>
      </w:r>
    </w:p>
    <w:p w14:paraId="5318DA1F">
      <w:pPr>
        <w:pStyle w:val="8"/>
        <w:numPr>
          <w:ilvl w:val="5"/>
          <w:numId w:val="16"/>
        </w:numPr>
      </w:pPr>
      <w:r>
        <w:rPr>
          <w:rFonts w:hint="eastAsia"/>
        </w:rPr>
        <w:t>权限管理分配</w:t>
      </w:r>
    </w:p>
    <w:p w14:paraId="05B98CCF">
      <w:pPr>
        <w:pStyle w:val="3"/>
      </w:pPr>
      <w:r>
        <w:rPr>
          <w:rFonts w:hint="eastAsia" w:asciiTheme="minorEastAsia" w:hAnsiTheme="minorEastAsia" w:eastAsiaTheme="minorEastAsia"/>
        </w:rPr>
        <w:t>支持以下功能：</w:t>
      </w:r>
    </w:p>
    <w:p w14:paraId="6541F23A">
      <w:pPr>
        <w:pStyle w:val="175"/>
        <w:ind w:firstLine="480"/>
      </w:pPr>
      <w:r>
        <w:rPr>
          <w:rFonts w:hint="eastAsia"/>
        </w:rPr>
        <w:t>支持设置操作者权限；</w:t>
      </w:r>
    </w:p>
    <w:p w14:paraId="5880BF25">
      <w:pPr>
        <w:pStyle w:val="175"/>
        <w:ind w:firstLine="480"/>
      </w:pPr>
      <w:r>
        <w:rPr>
          <w:rFonts w:hint="eastAsia"/>
        </w:rPr>
        <w:t>支持查看操作日志；</w:t>
      </w:r>
    </w:p>
    <w:p w14:paraId="294A8E8E">
      <w:pPr>
        <w:pStyle w:val="175"/>
        <w:ind w:firstLine="480"/>
      </w:pPr>
      <w:r>
        <w:rPr>
          <w:rFonts w:hint="eastAsia"/>
        </w:rPr>
        <w:t>支持修改权限密码。</w:t>
      </w:r>
    </w:p>
    <w:p w14:paraId="7BE1ABCE">
      <w:pPr>
        <w:pStyle w:val="175"/>
        <w:ind w:firstLine="480"/>
      </w:pPr>
      <w:r>
        <w:rPr>
          <w:rFonts w:hint="eastAsia"/>
        </w:rPr>
        <w:t>支持设置权限角色、按照角色分配权限。</w:t>
      </w:r>
    </w:p>
    <w:p w14:paraId="1E72B6D3">
      <w:pPr>
        <w:pStyle w:val="8"/>
        <w:numPr>
          <w:ilvl w:val="5"/>
          <w:numId w:val="16"/>
        </w:numPr>
      </w:pPr>
      <w:r>
        <w:rPr>
          <w:rFonts w:hint="eastAsia"/>
        </w:rPr>
        <w:t>统计分析软件</w:t>
      </w:r>
    </w:p>
    <w:p w14:paraId="3AAD3DA3">
      <w:pPr>
        <w:pStyle w:val="3"/>
      </w:pPr>
      <w:r>
        <w:rPr>
          <w:rFonts w:hint="eastAsia" w:asciiTheme="minorEastAsia" w:hAnsiTheme="minorEastAsia" w:eastAsiaTheme="minorEastAsia"/>
        </w:rPr>
        <w:t>支持以下功能：</w:t>
      </w:r>
    </w:p>
    <w:p w14:paraId="05E3C7AC">
      <w:pPr>
        <w:pStyle w:val="175"/>
        <w:ind w:firstLine="480"/>
      </w:pPr>
      <w:r>
        <w:rPr>
          <w:rFonts w:hint="eastAsia"/>
        </w:rPr>
        <w:t>支持按时间、检查类型、送检科室等条件筛选统计</w:t>
      </w:r>
    </w:p>
    <w:p w14:paraId="097EFB31">
      <w:pPr>
        <w:pStyle w:val="175"/>
        <w:ind w:firstLine="480"/>
      </w:pPr>
      <w:r>
        <w:rPr>
          <w:rFonts w:hint="eastAsia"/>
        </w:rPr>
        <w:t>支持统计模板树形管理结构，快速调用统计模板</w:t>
      </w:r>
    </w:p>
    <w:p w14:paraId="1EF253F2">
      <w:pPr>
        <w:pStyle w:val="175"/>
        <w:ind w:firstLine="480"/>
      </w:pPr>
      <w:r>
        <w:rPr>
          <w:rFonts w:hint="eastAsia"/>
        </w:rPr>
        <w:t>支持自由选择是否启用统计起始时间段，精确到秒级</w:t>
      </w:r>
    </w:p>
    <w:p w14:paraId="7499E0B9">
      <w:pPr>
        <w:pStyle w:val="175"/>
        <w:ind w:firstLine="480"/>
      </w:pPr>
      <w:r>
        <w:rPr>
          <w:rFonts w:hint="eastAsia"/>
        </w:rPr>
        <w:t>支持登记、技师、报告医生、审核医生等角色工作量统计</w:t>
      </w:r>
    </w:p>
    <w:p w14:paraId="1E53283E">
      <w:pPr>
        <w:pStyle w:val="175"/>
        <w:ind w:firstLine="480"/>
      </w:pPr>
      <w:r>
        <w:rPr>
          <w:rFonts w:hint="eastAsia"/>
        </w:rPr>
        <w:t>支持各个设备检查效益统计</w:t>
      </w:r>
    </w:p>
    <w:p w14:paraId="0B12EACA">
      <w:pPr>
        <w:pStyle w:val="175"/>
        <w:ind w:firstLine="480"/>
      </w:pPr>
      <w:r>
        <w:rPr>
          <w:rFonts w:hint="eastAsia"/>
        </w:rPr>
        <w:t>支持检查部位、阳性率、危急值、增强等指标统计</w:t>
      </w:r>
    </w:p>
    <w:p w14:paraId="50D86AC5">
      <w:pPr>
        <w:pStyle w:val="175"/>
        <w:ind w:firstLine="480"/>
      </w:pPr>
      <w:r>
        <w:rPr>
          <w:rFonts w:hint="eastAsia"/>
        </w:rPr>
        <w:t>支持可视化统计模板设计</w:t>
      </w:r>
    </w:p>
    <w:p w14:paraId="77CBB4B5">
      <w:pPr>
        <w:pStyle w:val="175"/>
        <w:ind w:firstLine="480"/>
      </w:pPr>
      <w:r>
        <w:rPr>
          <w:rFonts w:hint="eastAsia"/>
        </w:rPr>
        <w:t>支持统计报表输出EXCEL、PDF、RTF、CSV等多种格式文件</w:t>
      </w:r>
    </w:p>
    <w:p w14:paraId="30BF7500">
      <w:pPr>
        <w:pStyle w:val="8"/>
        <w:numPr>
          <w:ilvl w:val="5"/>
          <w:numId w:val="16"/>
        </w:numPr>
      </w:pPr>
      <w:r>
        <w:rPr>
          <w:rFonts w:hint="eastAsia"/>
        </w:rPr>
        <w:t>权限管理分配</w:t>
      </w:r>
    </w:p>
    <w:p w14:paraId="28A69AB7">
      <w:pPr>
        <w:pStyle w:val="3"/>
      </w:pPr>
      <w:r>
        <w:rPr>
          <w:rFonts w:hint="eastAsia" w:asciiTheme="minorEastAsia" w:hAnsiTheme="minorEastAsia" w:eastAsiaTheme="minorEastAsia"/>
        </w:rPr>
        <w:t>支持以下功能：</w:t>
      </w:r>
    </w:p>
    <w:p w14:paraId="64C51013">
      <w:pPr>
        <w:pStyle w:val="175"/>
        <w:ind w:firstLine="480"/>
      </w:pPr>
      <w:r>
        <w:rPr>
          <w:rFonts w:hint="eastAsia"/>
        </w:rPr>
        <w:t>支持设置操作者权限</w:t>
      </w:r>
    </w:p>
    <w:p w14:paraId="49D3D4CE">
      <w:pPr>
        <w:pStyle w:val="175"/>
        <w:ind w:firstLine="480"/>
      </w:pPr>
      <w:r>
        <w:rPr>
          <w:rFonts w:hint="eastAsia"/>
        </w:rPr>
        <w:t>支持查看操作日志</w:t>
      </w:r>
    </w:p>
    <w:p w14:paraId="31473B54">
      <w:pPr>
        <w:pStyle w:val="175"/>
        <w:ind w:firstLine="480"/>
      </w:pPr>
      <w:r>
        <w:rPr>
          <w:rFonts w:hint="eastAsia"/>
        </w:rPr>
        <w:t>支持修改权限密码</w:t>
      </w:r>
    </w:p>
    <w:p w14:paraId="7F135807">
      <w:pPr>
        <w:pStyle w:val="175"/>
        <w:ind w:firstLine="480"/>
      </w:pPr>
      <w:r>
        <w:rPr>
          <w:rFonts w:hint="eastAsia"/>
        </w:rPr>
        <w:t>支持设置权限角色、按照角色分配权限</w:t>
      </w:r>
    </w:p>
    <w:p w14:paraId="5F0AB3C6">
      <w:pPr>
        <w:pStyle w:val="8"/>
        <w:numPr>
          <w:ilvl w:val="5"/>
          <w:numId w:val="16"/>
        </w:numPr>
      </w:pPr>
      <w:r>
        <w:rPr>
          <w:rFonts w:hint="eastAsia"/>
        </w:rPr>
        <w:t>系统后台管理</w:t>
      </w:r>
    </w:p>
    <w:p w14:paraId="36AF9557">
      <w:pPr>
        <w:pStyle w:val="3"/>
      </w:pPr>
      <w:r>
        <w:rPr>
          <w:rFonts w:hint="eastAsia"/>
        </w:rPr>
        <w:t>支持</w:t>
      </w:r>
      <w:r>
        <w:rPr>
          <w:rFonts w:hint="eastAsia" w:asciiTheme="minorEastAsia" w:hAnsiTheme="minorEastAsia" w:eastAsiaTheme="minorEastAsia"/>
        </w:rPr>
        <w:t>支持以下功能：</w:t>
      </w:r>
    </w:p>
    <w:p w14:paraId="16C57E83">
      <w:pPr>
        <w:pStyle w:val="175"/>
        <w:ind w:firstLine="480"/>
      </w:pPr>
      <w:r>
        <w:rPr>
          <w:rFonts w:hint="eastAsia"/>
        </w:rPr>
        <w:t>支持系统界面皮肤颜色设置</w:t>
      </w:r>
    </w:p>
    <w:p w14:paraId="16946852">
      <w:pPr>
        <w:pStyle w:val="175"/>
        <w:ind w:firstLine="480"/>
      </w:pPr>
      <w:r>
        <w:rPr>
          <w:rFonts w:hint="eastAsia"/>
        </w:rPr>
        <w:t>支持页面自由拖拽、组合、排版、定义大小布局</w:t>
      </w:r>
    </w:p>
    <w:p w14:paraId="5DDAC26E">
      <w:pPr>
        <w:pStyle w:val="175"/>
        <w:ind w:firstLine="480"/>
      </w:pPr>
      <w:r>
        <w:rPr>
          <w:rFonts w:hint="eastAsia"/>
        </w:rPr>
        <w:t>支持可以配置三种报告审核模式：无审核模式、常规模式、申请审核模式(支持审核不通过退回的功能)</w:t>
      </w:r>
    </w:p>
    <w:p w14:paraId="6B6182C0">
      <w:pPr>
        <w:pStyle w:val="175"/>
        <w:ind w:firstLine="480"/>
      </w:pPr>
      <w:r>
        <w:rPr>
          <w:rFonts w:hint="eastAsia"/>
        </w:rPr>
        <w:t>支持在HIS/EMR系统配合开发的情况下，可视化配置电子病历路径及参数</w:t>
      </w:r>
    </w:p>
    <w:p w14:paraId="251A792C">
      <w:pPr>
        <w:pStyle w:val="175"/>
        <w:ind w:firstLine="480"/>
      </w:pPr>
      <w:r>
        <w:rPr>
          <w:rFonts w:hint="eastAsia"/>
        </w:rPr>
        <w:t>支持病人检查历史记录关联字段选择，提供卡号、放射号、模糊条件关联查询</w:t>
      </w:r>
    </w:p>
    <w:p w14:paraId="28489087">
      <w:pPr>
        <w:pStyle w:val="175"/>
        <w:ind w:firstLine="480"/>
      </w:pPr>
      <w:r>
        <w:rPr>
          <w:rFonts w:hint="eastAsia"/>
        </w:rPr>
        <w:t>支持海量词库维护</w:t>
      </w:r>
    </w:p>
    <w:p w14:paraId="092DF933">
      <w:pPr>
        <w:pStyle w:val="175"/>
        <w:ind w:firstLine="480"/>
      </w:pPr>
      <w:r>
        <w:rPr>
          <w:rFonts w:hint="eastAsia"/>
        </w:rPr>
        <w:t>支持检查测值维护</w:t>
      </w:r>
    </w:p>
    <w:p w14:paraId="2A53D185">
      <w:pPr>
        <w:pStyle w:val="175"/>
        <w:ind w:firstLine="480"/>
      </w:pPr>
      <w:r>
        <w:rPr>
          <w:rFonts w:hint="eastAsia"/>
        </w:rPr>
        <w:t>支持科室医生工作排班管理</w:t>
      </w:r>
    </w:p>
    <w:p w14:paraId="47D2ADD2">
      <w:pPr>
        <w:pStyle w:val="175"/>
        <w:ind w:firstLine="480"/>
      </w:pPr>
      <w:r>
        <w:rPr>
          <w:rFonts w:hint="eastAsia"/>
        </w:rPr>
        <w:t>支持删除信息日志管理</w:t>
      </w:r>
    </w:p>
    <w:p w14:paraId="6D3B3B3A">
      <w:pPr>
        <w:pStyle w:val="175"/>
        <w:ind w:firstLine="480"/>
      </w:pPr>
      <w:r>
        <w:rPr>
          <w:rFonts w:hint="eastAsia"/>
        </w:rPr>
        <w:t>支持典型病例管理</w:t>
      </w:r>
    </w:p>
    <w:p w14:paraId="4B2A2D3C">
      <w:pPr>
        <w:pStyle w:val="175"/>
        <w:ind w:firstLine="480"/>
      </w:pPr>
      <w:r>
        <w:rPr>
          <w:rFonts w:hint="eastAsia"/>
        </w:rPr>
        <w:t>支持报告模板维护</w:t>
      </w:r>
    </w:p>
    <w:p w14:paraId="05E311FE">
      <w:pPr>
        <w:pStyle w:val="175"/>
        <w:ind w:firstLine="480"/>
      </w:pPr>
      <w:r>
        <w:rPr>
          <w:rFonts w:hint="eastAsia"/>
        </w:rPr>
        <w:t>支持报告样式编辑</w:t>
      </w:r>
    </w:p>
    <w:p w14:paraId="5990DF91">
      <w:pPr>
        <w:pStyle w:val="175"/>
        <w:ind w:firstLine="480"/>
      </w:pPr>
      <w:r>
        <w:rPr>
          <w:rFonts w:hint="eastAsia"/>
        </w:rPr>
        <w:t>支持可视化的界面设计</w:t>
      </w:r>
    </w:p>
    <w:p w14:paraId="7BA2BA4D">
      <w:pPr>
        <w:pStyle w:val="175"/>
        <w:ind w:firstLine="480"/>
      </w:pPr>
      <w:r>
        <w:rPr>
          <w:rFonts w:hint="eastAsia"/>
        </w:rPr>
        <w:t>支持报告编辑段落空格设置</w:t>
      </w:r>
    </w:p>
    <w:p w14:paraId="3065682B">
      <w:pPr>
        <w:pStyle w:val="175"/>
        <w:ind w:firstLine="480"/>
      </w:pPr>
      <w:r>
        <w:rPr>
          <w:rFonts w:hint="eastAsia"/>
        </w:rPr>
        <w:t>支持新建检查信息默认字段设置</w:t>
      </w:r>
    </w:p>
    <w:p w14:paraId="7879BE7B">
      <w:pPr>
        <w:pStyle w:val="6"/>
        <w:numPr>
          <w:ilvl w:val="3"/>
          <w:numId w:val="16"/>
        </w:numPr>
      </w:pPr>
      <w:bookmarkStart w:id="235" w:name="_Toc1625"/>
      <w:r>
        <w:rPr>
          <w:rFonts w:hint="eastAsia"/>
        </w:rPr>
        <w:t>分诊叫号系统</w:t>
      </w:r>
      <w:bookmarkEnd w:id="235"/>
    </w:p>
    <w:p w14:paraId="654FAE9F">
      <w:pPr>
        <w:pStyle w:val="7"/>
        <w:numPr>
          <w:ilvl w:val="4"/>
          <w:numId w:val="16"/>
        </w:numPr>
      </w:pPr>
      <w:bookmarkStart w:id="236" w:name="_Toc23299"/>
      <w:bookmarkStart w:id="237" w:name="_Toc9250"/>
      <w:r>
        <w:rPr>
          <w:rFonts w:hint="eastAsia"/>
        </w:rPr>
        <w:t>分诊排队管理</w:t>
      </w:r>
      <w:bookmarkEnd w:id="236"/>
      <w:bookmarkEnd w:id="237"/>
    </w:p>
    <w:p w14:paraId="6CF16B93">
      <w:pPr>
        <w:pStyle w:val="175"/>
        <w:ind w:firstLine="480"/>
      </w:pPr>
      <w:r>
        <w:rPr>
          <w:rFonts w:hint="eastAsia"/>
        </w:rPr>
        <w:t>支持以下功能：</w:t>
      </w:r>
    </w:p>
    <w:p w14:paraId="2D2534FD">
      <w:pPr>
        <w:pStyle w:val="175"/>
        <w:ind w:firstLine="480"/>
        <w:rPr>
          <w:rFonts w:ascii="宋体" w:hAnsi="宋体" w:cs="宋体"/>
          <w:color w:val="000000"/>
          <w:lang w:val="zh-CN"/>
        </w:rPr>
      </w:pPr>
      <w:r>
        <w:rPr>
          <w:rFonts w:hint="eastAsia"/>
        </w:rPr>
        <w:t>支持</w:t>
      </w:r>
      <w:r>
        <w:rPr>
          <w:rFonts w:hint="eastAsia" w:ascii="宋体" w:hAnsi="宋体" w:cs="宋体"/>
        </w:rPr>
        <w:t>系统集成了叫号显示大屏、音箱、LED显示牌等为科室的各个诊室提供就诊登记、取号、分诊排队、叫号通知、取报告通知等服务。</w:t>
      </w:r>
      <w:r>
        <w:rPr>
          <w:rFonts w:hint="eastAsia" w:ascii="宋体" w:hAnsi="宋体" w:cs="宋体"/>
          <w:color w:val="000000"/>
          <w:lang w:val="zh-CN"/>
        </w:rPr>
        <w:t>分诊叫号工作站内置中文文字朗读引擎，可以直接呼叫病人中文姓名。</w:t>
      </w:r>
    </w:p>
    <w:p w14:paraId="537C8326">
      <w:pPr>
        <w:pStyle w:val="7"/>
        <w:numPr>
          <w:ilvl w:val="4"/>
          <w:numId w:val="16"/>
        </w:numPr>
      </w:pPr>
      <w:bookmarkStart w:id="238" w:name="_Toc7931"/>
      <w:bookmarkStart w:id="239" w:name="_Toc12318"/>
      <w:r>
        <w:rPr>
          <w:rFonts w:hint="eastAsia"/>
        </w:rPr>
        <w:t>分诊叫号</w:t>
      </w:r>
      <w:bookmarkEnd w:id="238"/>
      <w:bookmarkEnd w:id="239"/>
    </w:p>
    <w:p w14:paraId="02CEEFE8">
      <w:pPr>
        <w:pStyle w:val="3"/>
      </w:pPr>
      <w:r>
        <w:rPr>
          <w:rFonts w:hint="eastAsia" w:asciiTheme="minorEastAsia" w:hAnsiTheme="minorEastAsia" w:eastAsiaTheme="minorEastAsia"/>
        </w:rPr>
        <w:t>具备支持以下功能：</w:t>
      </w:r>
    </w:p>
    <w:p w14:paraId="68748F79">
      <w:pPr>
        <w:pStyle w:val="175"/>
        <w:ind w:firstLine="480"/>
      </w:pPr>
      <w:r>
        <w:rPr>
          <w:rFonts w:hint="eastAsia"/>
        </w:rPr>
        <w:t>支持基于TTS技术的中文真人语音朗读</w:t>
      </w:r>
    </w:p>
    <w:p w14:paraId="6638010D">
      <w:pPr>
        <w:pStyle w:val="175"/>
        <w:ind w:firstLine="480"/>
      </w:pPr>
      <w:r>
        <w:rPr>
          <w:rFonts w:hint="eastAsia"/>
        </w:rPr>
        <w:t>支持叫号语音多音字维护</w:t>
      </w:r>
    </w:p>
    <w:p w14:paraId="616FF28A">
      <w:pPr>
        <w:pStyle w:val="175"/>
        <w:ind w:firstLine="480"/>
      </w:pPr>
      <w:r>
        <w:rPr>
          <w:rFonts w:hint="eastAsia"/>
        </w:rPr>
        <w:t>支持自动生成排队号</w:t>
      </w:r>
    </w:p>
    <w:p w14:paraId="32C5EEE5">
      <w:pPr>
        <w:pStyle w:val="175"/>
        <w:ind w:firstLine="480"/>
      </w:pPr>
      <w:r>
        <w:rPr>
          <w:rFonts w:hint="eastAsia"/>
        </w:rPr>
        <w:t>支持诊室列表切换</w:t>
      </w:r>
    </w:p>
    <w:p w14:paraId="779F1698">
      <w:pPr>
        <w:pStyle w:val="175"/>
        <w:ind w:firstLine="480"/>
      </w:pPr>
      <w:r>
        <w:rPr>
          <w:rFonts w:hint="eastAsia"/>
        </w:rPr>
        <w:t>支持诊室队列维护</w:t>
      </w:r>
    </w:p>
    <w:p w14:paraId="602F6988">
      <w:pPr>
        <w:pStyle w:val="175"/>
        <w:ind w:firstLine="480"/>
      </w:pPr>
      <w:r>
        <w:rPr>
          <w:rFonts w:hint="eastAsia"/>
        </w:rPr>
        <w:t>支持候诊列表、已呼叫病人列表、挂起的病人列表查询</w:t>
      </w:r>
    </w:p>
    <w:p w14:paraId="18AD7BDC">
      <w:pPr>
        <w:pStyle w:val="175"/>
        <w:ind w:firstLine="480"/>
      </w:pPr>
      <w:r>
        <w:rPr>
          <w:rFonts w:hint="eastAsia"/>
        </w:rPr>
        <w:t>支持自定义叫号大屏样式设计</w:t>
      </w:r>
    </w:p>
    <w:p w14:paraId="28CB27C4">
      <w:pPr>
        <w:pStyle w:val="175"/>
        <w:ind w:firstLine="480"/>
      </w:pPr>
      <w:r>
        <w:rPr>
          <w:rFonts w:hint="eastAsia"/>
        </w:rPr>
        <w:t>支持诊室列表右键菜单管理</w:t>
      </w:r>
    </w:p>
    <w:p w14:paraId="6BDA297E">
      <w:pPr>
        <w:pStyle w:val="175"/>
        <w:ind w:firstLine="480"/>
      </w:pPr>
      <w:r>
        <w:rPr>
          <w:rFonts w:hint="eastAsia"/>
        </w:rPr>
        <w:t>支持叫号排序规则设置</w:t>
      </w:r>
    </w:p>
    <w:p w14:paraId="5CF4EB9F">
      <w:pPr>
        <w:pStyle w:val="175"/>
        <w:ind w:firstLine="480"/>
      </w:pPr>
      <w:r>
        <w:rPr>
          <w:rFonts w:hint="eastAsia"/>
        </w:rPr>
        <w:t>支持诊室叫号模式与队列叫号模式</w:t>
      </w:r>
    </w:p>
    <w:p w14:paraId="584061D4">
      <w:pPr>
        <w:pStyle w:val="175"/>
        <w:ind w:firstLine="480"/>
      </w:pPr>
      <w:r>
        <w:rPr>
          <w:rFonts w:hint="eastAsia"/>
        </w:rPr>
        <w:t>支持自定义叫号内容维护</w:t>
      </w:r>
    </w:p>
    <w:p w14:paraId="1B8ADD4D">
      <w:pPr>
        <w:pStyle w:val="175"/>
        <w:ind w:firstLine="480"/>
      </w:pPr>
      <w:r>
        <w:rPr>
          <w:rFonts w:hint="eastAsia"/>
        </w:rPr>
        <w:t>支持键盘快捷键叫号、重呼、结诊、挂起</w:t>
      </w:r>
    </w:p>
    <w:p w14:paraId="2D326D64">
      <w:pPr>
        <w:pStyle w:val="175"/>
        <w:ind w:firstLine="480"/>
      </w:pPr>
      <w:r>
        <w:rPr>
          <w:rFonts w:hint="eastAsia"/>
        </w:rPr>
        <w:t>支持手柄叫号</w:t>
      </w:r>
    </w:p>
    <w:p w14:paraId="34FFE7C7">
      <w:pPr>
        <w:pStyle w:val="175"/>
        <w:ind w:firstLine="480"/>
      </w:pPr>
      <w:r>
        <w:rPr>
          <w:rFonts w:hint="eastAsia"/>
        </w:rPr>
        <w:t>支持排队病人优先级指定，排队病人前后移动，队列转移</w:t>
      </w:r>
    </w:p>
    <w:p w14:paraId="5F6B6F51">
      <w:pPr>
        <w:pStyle w:val="175"/>
        <w:ind w:firstLine="480"/>
      </w:pPr>
      <w:r>
        <w:rPr>
          <w:rFonts w:hint="eastAsia"/>
        </w:rPr>
        <w:t>支持叫号大屏过号列表，过号病人可重新设置候诊</w:t>
      </w:r>
    </w:p>
    <w:p w14:paraId="1F2C84FB">
      <w:pPr>
        <w:pStyle w:val="175"/>
        <w:ind w:firstLine="480"/>
      </w:pPr>
      <w:r>
        <w:rPr>
          <w:rFonts w:hint="eastAsia"/>
        </w:rPr>
        <w:t>支持跨诊室叫号</w:t>
      </w:r>
    </w:p>
    <w:p w14:paraId="2A967AD8">
      <w:pPr>
        <w:pStyle w:val="175"/>
        <w:ind w:firstLine="480"/>
      </w:pPr>
      <w:r>
        <w:rPr>
          <w:rFonts w:hint="eastAsia"/>
        </w:rPr>
        <w:t>支持系统具有一级、二级分诊排队模式，在候诊区进行首次分诊，在诊室门口进行第二次分诊</w:t>
      </w:r>
    </w:p>
    <w:p w14:paraId="731C0370">
      <w:pPr>
        <w:pStyle w:val="6"/>
        <w:numPr>
          <w:ilvl w:val="3"/>
          <w:numId w:val="16"/>
        </w:numPr>
      </w:pPr>
      <w:bookmarkStart w:id="240" w:name="_Toc3420"/>
      <w:bookmarkStart w:id="241" w:name="_Toc19682"/>
      <w:r>
        <w:rPr>
          <w:rFonts w:hint="eastAsia"/>
        </w:rPr>
        <w:t>WEB临床调阅系统</w:t>
      </w:r>
      <w:bookmarkEnd w:id="240"/>
    </w:p>
    <w:p w14:paraId="45CBCDA5">
      <w:pPr>
        <w:numPr>
          <w:ilvl w:val="0"/>
          <w:numId w:val="19"/>
        </w:numPr>
        <w:spacing w:line="240" w:lineRule="auto"/>
        <w:ind w:firstLine="480" w:firstLineChars="200"/>
        <w:rPr>
          <w:rFonts w:ascii="宋体" w:hAnsi="宋体" w:cs="宋体"/>
        </w:rPr>
      </w:pPr>
      <w:bookmarkStart w:id="242" w:name="_Toc4736"/>
      <w:r>
        <w:rPr>
          <w:rFonts w:hint="eastAsia" w:ascii="宋体" w:hAnsi="宋体" w:cs="宋体"/>
          <w:szCs w:val="24"/>
        </w:rPr>
        <w:t>图像浏览</w:t>
      </w:r>
      <w:bookmarkEnd w:id="242"/>
      <w:r>
        <w:rPr>
          <w:rFonts w:hint="eastAsia" w:ascii="宋体" w:hAnsi="宋体" w:cs="宋体"/>
          <w:szCs w:val="24"/>
        </w:rPr>
        <w:t>，</w:t>
      </w:r>
      <w:r>
        <w:rPr>
          <w:rFonts w:hint="eastAsia" w:asciiTheme="minorEastAsia" w:hAnsiTheme="minorEastAsia" w:eastAsiaTheme="minorEastAsia"/>
        </w:rPr>
        <w:t>支持以下功能：</w:t>
      </w:r>
    </w:p>
    <w:p w14:paraId="4D4790C6">
      <w:pPr>
        <w:pStyle w:val="175"/>
        <w:ind w:firstLine="480"/>
      </w:pPr>
      <w:r>
        <w:rPr>
          <w:rFonts w:hint="eastAsia"/>
        </w:rPr>
        <w:t>支持Web浏览方式，从临床工作站调用web页面，浏览图像。</w:t>
      </w:r>
    </w:p>
    <w:p w14:paraId="12BCA203">
      <w:pPr>
        <w:pStyle w:val="175"/>
        <w:ind w:firstLine="480"/>
      </w:pPr>
      <w:r>
        <w:rPr>
          <w:rFonts w:hint="eastAsia"/>
        </w:rPr>
        <w:t>支持程序调用方式，临床工作站调用图像查看图像。</w:t>
      </w:r>
    </w:p>
    <w:p w14:paraId="0CBA47FF">
      <w:pPr>
        <w:pStyle w:val="175"/>
        <w:ind w:firstLine="480"/>
      </w:pPr>
      <w:r>
        <w:rPr>
          <w:rFonts w:hint="eastAsia"/>
        </w:rPr>
        <w:t>支持专业临床终端，对影像需要比较高的科室，比如骨科，普外科，需要对图像进行复杂分析，做手术规划，需要部署专业临床终端，以及三维与器官分析软件。</w:t>
      </w:r>
    </w:p>
    <w:p w14:paraId="54D68E88">
      <w:pPr>
        <w:pStyle w:val="175"/>
        <w:numPr>
          <w:ilvl w:val="0"/>
          <w:numId w:val="19"/>
        </w:numPr>
        <w:ind w:firstLine="480"/>
        <w:rPr>
          <w:rFonts w:asciiTheme="minorEastAsia" w:hAnsiTheme="minorEastAsia" w:eastAsiaTheme="minorEastAsia"/>
        </w:rPr>
      </w:pPr>
      <w:bookmarkStart w:id="243" w:name="_Toc26714"/>
      <w:r>
        <w:rPr>
          <w:rFonts w:hint="eastAsia"/>
        </w:rPr>
        <w:t>报告浏览</w:t>
      </w:r>
      <w:bookmarkEnd w:id="243"/>
      <w:r>
        <w:rPr>
          <w:rFonts w:hint="eastAsia"/>
        </w:rPr>
        <w:t>，</w:t>
      </w:r>
      <w:r>
        <w:rPr>
          <w:rFonts w:hint="eastAsia" w:asciiTheme="minorEastAsia" w:hAnsiTheme="minorEastAsia" w:eastAsiaTheme="minorEastAsia"/>
        </w:rPr>
        <w:t>支持以下功能：</w:t>
      </w:r>
    </w:p>
    <w:p w14:paraId="289D65B9">
      <w:pPr>
        <w:pStyle w:val="175"/>
        <w:ind w:firstLine="480"/>
      </w:pPr>
      <w:r>
        <w:rPr>
          <w:rFonts w:hint="eastAsia"/>
        </w:rPr>
        <w:t>支持Web浏览方式，从临床工作站调用web页面，查看报告。</w:t>
      </w:r>
    </w:p>
    <w:p w14:paraId="23690DAA">
      <w:pPr>
        <w:pStyle w:val="175"/>
        <w:ind w:firstLine="480"/>
      </w:pPr>
      <w:r>
        <w:rPr>
          <w:rFonts w:hint="eastAsia"/>
        </w:rPr>
        <w:t>支持程序调用方式，临床工作站直接查看报告</w:t>
      </w:r>
      <w:bookmarkEnd w:id="241"/>
    </w:p>
    <w:p w14:paraId="647B1EFD">
      <w:pPr>
        <w:pStyle w:val="6"/>
        <w:numPr>
          <w:ilvl w:val="3"/>
          <w:numId w:val="16"/>
        </w:numPr>
      </w:pPr>
      <w:bookmarkStart w:id="244" w:name="_Toc202539072"/>
      <w:r>
        <w:rPr>
          <w:rFonts w:hint="eastAsia"/>
        </w:rPr>
        <w:t>超声信息系统</w:t>
      </w:r>
      <w:bookmarkEnd w:id="244"/>
    </w:p>
    <w:p w14:paraId="2493549B">
      <w:pPr>
        <w:pStyle w:val="7"/>
        <w:numPr>
          <w:ilvl w:val="4"/>
          <w:numId w:val="16"/>
        </w:numPr>
        <w:rPr>
          <w:rFonts w:ascii="宋体" w:hAnsi="宋体" w:cs="宋体"/>
          <w:sz w:val="24"/>
        </w:rPr>
      </w:pPr>
      <w:bookmarkStart w:id="245" w:name="_Toc14507"/>
      <w:bookmarkStart w:id="246" w:name="_Toc27386"/>
      <w:r>
        <w:rPr>
          <w:rFonts w:hint="eastAsia" w:ascii="Times New Roman" w:hAnsi="Times New Roman" w:eastAsia="宋体"/>
        </w:rPr>
        <w:t>登记工作站</w:t>
      </w:r>
      <w:bookmarkEnd w:id="245"/>
      <w:bookmarkEnd w:id="246"/>
    </w:p>
    <w:p w14:paraId="5FAF8C45">
      <w:pPr>
        <w:pStyle w:val="8"/>
        <w:numPr>
          <w:ilvl w:val="5"/>
          <w:numId w:val="16"/>
        </w:numPr>
        <w:rPr>
          <w:rFonts w:eastAsia="宋体"/>
        </w:rPr>
      </w:pPr>
      <w:r>
        <w:rPr>
          <w:rFonts w:hint="eastAsia" w:eastAsia="宋体"/>
        </w:rPr>
        <w:t>预约登记软件</w:t>
      </w:r>
    </w:p>
    <w:p w14:paraId="27A48A7E">
      <w:pPr>
        <w:pStyle w:val="3"/>
      </w:pPr>
      <w:bookmarkStart w:id="247" w:name="OLE_LINK1"/>
      <w:r>
        <w:rPr>
          <w:rFonts w:hint="eastAsia" w:asciiTheme="minorEastAsia" w:hAnsiTheme="minorEastAsia" w:eastAsiaTheme="minorEastAsia"/>
        </w:rPr>
        <w:t>支持以下功能：</w:t>
      </w:r>
      <w:bookmarkEnd w:id="247"/>
    </w:p>
    <w:p w14:paraId="6CC79CB5">
      <w:pPr>
        <w:pStyle w:val="175"/>
        <w:ind w:firstLine="480"/>
      </w:pPr>
      <w:r>
        <w:rPr>
          <w:rFonts w:hint="eastAsia"/>
        </w:rPr>
        <w:t>支持登记病人信息，包括姓名、性别、民族、年龄、住址、收费类别、联系电话、检查日期、 检查部位、简单病史等基本信息。</w:t>
      </w:r>
    </w:p>
    <w:p w14:paraId="64671B14">
      <w:pPr>
        <w:pStyle w:val="175"/>
        <w:ind w:firstLine="480"/>
      </w:pPr>
      <w:r>
        <w:rPr>
          <w:rFonts w:hint="eastAsia"/>
        </w:rPr>
        <w:t>支持登记关键字后自动联想历史检查，历史检查信息快速调用登记</w:t>
      </w:r>
    </w:p>
    <w:p w14:paraId="4CB428F5">
      <w:pPr>
        <w:pStyle w:val="175"/>
        <w:ind w:firstLine="480"/>
      </w:pPr>
      <w:r>
        <w:rPr>
          <w:rFonts w:hint="eastAsia"/>
        </w:rPr>
        <w:t>支持全键盘快速登记</w:t>
      </w:r>
    </w:p>
    <w:p w14:paraId="598E3DEE">
      <w:pPr>
        <w:pStyle w:val="175"/>
        <w:ind w:firstLine="480"/>
      </w:pPr>
      <w:r>
        <w:rPr>
          <w:rFonts w:hint="eastAsia"/>
        </w:rPr>
        <w:t>支持检查登记选择预约时间</w:t>
      </w:r>
    </w:p>
    <w:p w14:paraId="1ADDF26F">
      <w:pPr>
        <w:pStyle w:val="175"/>
        <w:ind w:firstLine="480"/>
      </w:pPr>
      <w:r>
        <w:rPr>
          <w:rFonts w:hint="eastAsia"/>
        </w:rPr>
        <w:t>支持保存登记信息的同时一键打印条码或者预约单</w:t>
      </w:r>
    </w:p>
    <w:p w14:paraId="6BE8F3B5">
      <w:pPr>
        <w:pStyle w:val="175"/>
        <w:ind w:firstLine="480"/>
      </w:pPr>
      <w:r>
        <w:rPr>
          <w:rFonts w:hint="eastAsia"/>
        </w:rPr>
        <w:t>支持在HIS/体检等第三方系统配合开发的情况下，支持直接通过HIS或第三方接口快速刷卡登记</w:t>
      </w:r>
    </w:p>
    <w:p w14:paraId="64CE83BF">
      <w:pPr>
        <w:pStyle w:val="175"/>
        <w:ind w:firstLine="480"/>
      </w:pPr>
      <w:r>
        <w:rPr>
          <w:rFonts w:hint="eastAsia"/>
        </w:rPr>
        <w:t>支持自动合并同一病人的多条医嘱数据，自动计算费用单据</w:t>
      </w:r>
    </w:p>
    <w:p w14:paraId="2F9AD373">
      <w:pPr>
        <w:pStyle w:val="175"/>
        <w:ind w:firstLine="480"/>
      </w:pPr>
      <w:r>
        <w:rPr>
          <w:rFonts w:hint="eastAsia"/>
        </w:rPr>
        <w:t>支持自动关联用户一键保存控件布局</w:t>
      </w:r>
    </w:p>
    <w:p w14:paraId="6EE7281C">
      <w:pPr>
        <w:pStyle w:val="175"/>
        <w:ind w:firstLine="480"/>
      </w:pPr>
      <w:r>
        <w:rPr>
          <w:rFonts w:hint="eastAsia"/>
        </w:rPr>
        <w:t>支持用户偏好设置</w:t>
      </w:r>
    </w:p>
    <w:p w14:paraId="3F42C5FA">
      <w:pPr>
        <w:pStyle w:val="175"/>
        <w:ind w:firstLine="480"/>
      </w:pPr>
      <w:r>
        <w:rPr>
          <w:rFonts w:hint="eastAsia"/>
        </w:rPr>
        <w:t>支持新建病人检查信息默认规则设置</w:t>
      </w:r>
    </w:p>
    <w:p w14:paraId="7E20BF06">
      <w:pPr>
        <w:pStyle w:val="175"/>
        <w:ind w:firstLine="480"/>
      </w:pPr>
      <w:r>
        <w:rPr>
          <w:rFonts w:hint="eastAsia"/>
        </w:rPr>
        <w:t>支持鼠标键盘静止超过设定时间自动锁定或者手动锁定用户</w:t>
      </w:r>
    </w:p>
    <w:p w14:paraId="34486644">
      <w:pPr>
        <w:pStyle w:val="175"/>
        <w:ind w:firstLine="480"/>
      </w:pPr>
      <w:r>
        <w:rPr>
          <w:rFonts w:hint="eastAsia"/>
        </w:rPr>
        <w:t>支持登记病人信息可以选择是否在叫号大屏显示</w:t>
      </w:r>
    </w:p>
    <w:p w14:paraId="38C3AE8D">
      <w:pPr>
        <w:pStyle w:val="175"/>
        <w:ind w:firstLine="480"/>
      </w:pPr>
      <w:r>
        <w:rPr>
          <w:rFonts w:hint="eastAsia"/>
        </w:rPr>
        <w:t>支持患者信息再次登记，保留同一病人信息</w:t>
      </w:r>
    </w:p>
    <w:p w14:paraId="63009A3A">
      <w:pPr>
        <w:pStyle w:val="175"/>
        <w:ind w:firstLine="480"/>
      </w:pPr>
      <w:r>
        <w:rPr>
          <w:rFonts w:hint="eastAsia"/>
        </w:rPr>
        <w:t>支持绿色通道和急诊患者快速登记</w:t>
      </w:r>
    </w:p>
    <w:p w14:paraId="065EB468">
      <w:pPr>
        <w:pStyle w:val="175"/>
        <w:ind w:firstLine="480"/>
      </w:pPr>
      <w:r>
        <w:rPr>
          <w:rFonts w:hint="eastAsia"/>
        </w:rPr>
        <w:t>支持同一患者多部位拆分登记，一次登记多条记录</w:t>
      </w:r>
    </w:p>
    <w:p w14:paraId="61391024">
      <w:pPr>
        <w:pStyle w:val="175"/>
        <w:ind w:firstLine="480"/>
      </w:pPr>
      <w:r>
        <w:rPr>
          <w:rFonts w:hint="eastAsia"/>
        </w:rPr>
        <w:t>支持通过输入末次月经核算孕周。</w:t>
      </w:r>
    </w:p>
    <w:p w14:paraId="675FAE84">
      <w:pPr>
        <w:pStyle w:val="175"/>
        <w:ind w:firstLine="480"/>
      </w:pPr>
      <w:r>
        <w:rPr>
          <w:rFonts w:hint="eastAsia"/>
        </w:rPr>
        <w:t>支持登记患者信息时选择上下午，合理规划患者就诊时间</w:t>
      </w:r>
    </w:p>
    <w:p w14:paraId="3E7ADFD7">
      <w:pPr>
        <w:pStyle w:val="8"/>
        <w:numPr>
          <w:ilvl w:val="5"/>
          <w:numId w:val="16"/>
        </w:numPr>
      </w:pPr>
      <w:r>
        <w:rPr>
          <w:rFonts w:hint="eastAsia"/>
        </w:rPr>
        <w:t>分诊叫号</w:t>
      </w:r>
    </w:p>
    <w:p w14:paraId="7AD679DB">
      <w:pPr>
        <w:pStyle w:val="3"/>
      </w:pPr>
      <w:r>
        <w:rPr>
          <w:rFonts w:hint="eastAsia" w:asciiTheme="minorEastAsia" w:hAnsiTheme="minorEastAsia" w:eastAsiaTheme="minorEastAsia"/>
        </w:rPr>
        <w:t>支持以下功能：</w:t>
      </w:r>
    </w:p>
    <w:p w14:paraId="4837DA97">
      <w:pPr>
        <w:pStyle w:val="175"/>
        <w:ind w:firstLine="480"/>
      </w:pPr>
      <w:r>
        <w:rPr>
          <w:rFonts w:hint="eastAsia"/>
        </w:rPr>
        <w:t>支持实时查看各诊室或队列列表未检查患者、已呼叫病人、挂起的病人人数，从而进行合理分配</w:t>
      </w:r>
    </w:p>
    <w:p w14:paraId="01C4E87B">
      <w:pPr>
        <w:pStyle w:val="175"/>
        <w:ind w:firstLine="480"/>
      </w:pPr>
      <w:r>
        <w:rPr>
          <w:rFonts w:hint="eastAsia"/>
        </w:rPr>
        <w:t>支持叫号、重呼、挂起等基本操作</w:t>
      </w:r>
    </w:p>
    <w:p w14:paraId="006D6FF8">
      <w:pPr>
        <w:pStyle w:val="175"/>
        <w:ind w:firstLine="480"/>
      </w:pPr>
      <w:r>
        <w:rPr>
          <w:rFonts w:hint="eastAsia"/>
        </w:rPr>
        <w:t>支持自定义叫号内容，广播通知以及呼叫患者家属</w:t>
      </w:r>
    </w:p>
    <w:p w14:paraId="17A7FBD0">
      <w:pPr>
        <w:pStyle w:val="175"/>
        <w:ind w:firstLine="480"/>
      </w:pPr>
      <w:r>
        <w:rPr>
          <w:rFonts w:hint="eastAsia"/>
        </w:rPr>
        <w:t>支持自动生成排队号</w:t>
      </w:r>
    </w:p>
    <w:p w14:paraId="3AC1F008">
      <w:pPr>
        <w:pStyle w:val="175"/>
        <w:ind w:firstLine="480"/>
      </w:pPr>
      <w:r>
        <w:rPr>
          <w:rFonts w:hint="eastAsia"/>
        </w:rPr>
        <w:t>诊室列表切换、日期切换</w:t>
      </w:r>
    </w:p>
    <w:p w14:paraId="6A6CD3AC">
      <w:pPr>
        <w:pStyle w:val="175"/>
        <w:ind w:firstLine="480"/>
      </w:pPr>
      <w:r>
        <w:rPr>
          <w:rFonts w:hint="eastAsia"/>
        </w:rPr>
        <w:t>支持诊室队列维护、叫号内容调整</w:t>
      </w:r>
    </w:p>
    <w:p w14:paraId="3535CC95">
      <w:pPr>
        <w:pStyle w:val="175"/>
        <w:ind w:firstLine="480"/>
      </w:pPr>
      <w:r>
        <w:rPr>
          <w:rFonts w:hint="eastAsia"/>
        </w:rPr>
        <w:t>支持键盘快捷键叫号、重呼、结诊、挂起</w:t>
      </w:r>
    </w:p>
    <w:p w14:paraId="01A03C99">
      <w:pPr>
        <w:pStyle w:val="175"/>
        <w:ind w:firstLine="480"/>
      </w:pPr>
      <w:r>
        <w:rPr>
          <w:rFonts w:hint="eastAsia"/>
        </w:rPr>
        <w:t>支持手柄叫号</w:t>
      </w:r>
    </w:p>
    <w:p w14:paraId="2D55969D">
      <w:pPr>
        <w:pStyle w:val="175"/>
        <w:ind w:firstLine="480"/>
      </w:pPr>
      <w:r>
        <w:rPr>
          <w:rFonts w:hint="eastAsia"/>
        </w:rPr>
        <w:t>支持排队病人优先级指定，排队病人前后移动，队列转移</w:t>
      </w:r>
    </w:p>
    <w:p w14:paraId="3F646A96">
      <w:pPr>
        <w:pStyle w:val="175"/>
        <w:ind w:firstLine="480"/>
      </w:pPr>
      <w:r>
        <w:rPr>
          <w:rFonts w:hint="eastAsia"/>
        </w:rPr>
        <w:t>支持跨诊室叫号</w:t>
      </w:r>
    </w:p>
    <w:p w14:paraId="1EE6A025">
      <w:pPr>
        <w:pStyle w:val="8"/>
        <w:numPr>
          <w:ilvl w:val="5"/>
          <w:numId w:val="16"/>
        </w:numPr>
      </w:pPr>
      <w:r>
        <w:rPr>
          <w:rFonts w:hint="eastAsia"/>
        </w:rPr>
        <w:t>诊室叫号</w:t>
      </w:r>
    </w:p>
    <w:p w14:paraId="4E445BFE">
      <w:pPr>
        <w:pStyle w:val="3"/>
      </w:pPr>
      <w:r>
        <w:rPr>
          <w:rFonts w:hint="eastAsia" w:asciiTheme="minorEastAsia" w:hAnsiTheme="minorEastAsia" w:eastAsiaTheme="minorEastAsia"/>
        </w:rPr>
        <w:t>支持以下功能：</w:t>
      </w:r>
    </w:p>
    <w:p w14:paraId="79E47CCB">
      <w:pPr>
        <w:pStyle w:val="175"/>
        <w:ind w:firstLine="480"/>
      </w:pPr>
      <w:r>
        <w:rPr>
          <w:rFonts w:hint="eastAsia"/>
        </w:rPr>
        <w:t>支持实时查看本诊室或队列列表排队患者</w:t>
      </w:r>
    </w:p>
    <w:p w14:paraId="71BB3EE6">
      <w:pPr>
        <w:pStyle w:val="175"/>
        <w:ind w:firstLine="480"/>
      </w:pPr>
      <w:r>
        <w:rPr>
          <w:rFonts w:hint="eastAsia"/>
        </w:rPr>
        <w:t>支持按照顺序对排队患者进行语音叫号的功能</w:t>
      </w:r>
    </w:p>
    <w:p w14:paraId="4B61A277">
      <w:pPr>
        <w:pStyle w:val="175"/>
        <w:ind w:firstLine="480"/>
      </w:pPr>
      <w:r>
        <w:rPr>
          <w:rFonts w:hint="eastAsia"/>
        </w:rPr>
        <w:t>支持转诊功能</w:t>
      </w:r>
    </w:p>
    <w:p w14:paraId="781BB316">
      <w:pPr>
        <w:pStyle w:val="175"/>
        <w:ind w:firstLine="480"/>
      </w:pPr>
      <w:r>
        <w:rPr>
          <w:rFonts w:hint="eastAsia"/>
        </w:rPr>
        <w:t>支持选择患者进行叫号的功能</w:t>
      </w:r>
    </w:p>
    <w:p w14:paraId="26A85B89">
      <w:pPr>
        <w:pStyle w:val="175"/>
        <w:ind w:firstLine="480"/>
      </w:pPr>
      <w:r>
        <w:rPr>
          <w:rFonts w:hint="eastAsia"/>
        </w:rPr>
        <w:t>支持把患者挂起的功能</w:t>
      </w:r>
    </w:p>
    <w:p w14:paraId="55E8E2E1">
      <w:pPr>
        <w:pStyle w:val="175"/>
        <w:ind w:firstLine="480"/>
      </w:pPr>
      <w:r>
        <w:rPr>
          <w:rFonts w:hint="eastAsia"/>
        </w:rPr>
        <w:t>支持把挂起患者重新归队的功能</w:t>
      </w:r>
    </w:p>
    <w:p w14:paraId="1A71988A">
      <w:pPr>
        <w:pStyle w:val="8"/>
        <w:numPr>
          <w:ilvl w:val="5"/>
          <w:numId w:val="16"/>
        </w:numPr>
      </w:pPr>
      <w:r>
        <w:rPr>
          <w:rFonts w:hint="eastAsia"/>
        </w:rPr>
        <w:t>图像采集软件</w:t>
      </w:r>
    </w:p>
    <w:p w14:paraId="105B17D6">
      <w:pPr>
        <w:pStyle w:val="3"/>
      </w:pPr>
      <w:r>
        <w:rPr>
          <w:rFonts w:hint="eastAsia" w:asciiTheme="minorEastAsia" w:hAnsiTheme="minorEastAsia" w:eastAsiaTheme="minorEastAsia"/>
        </w:rPr>
        <w:t>支持以下功能：</w:t>
      </w:r>
    </w:p>
    <w:p w14:paraId="042C4728">
      <w:pPr>
        <w:pStyle w:val="175"/>
        <w:ind w:firstLine="480"/>
      </w:pPr>
      <w:r>
        <w:rPr>
          <w:rFonts w:hint="eastAsia"/>
        </w:rPr>
        <w:t>支持单帧视频图像采集：支持 NTSC、PAL、S-Video、RGB 等视频信号采集。图像格式可为 JPG、bmp 等格式，并可对图像进行处理。</w:t>
      </w:r>
    </w:p>
    <w:p w14:paraId="75BDDDDF">
      <w:pPr>
        <w:pStyle w:val="175"/>
        <w:ind w:firstLine="480"/>
      </w:pPr>
      <w:r>
        <w:rPr>
          <w:rFonts w:hint="eastAsia"/>
        </w:rPr>
        <w:t>支持DICOM模式进行图像采集以及传输</w:t>
      </w:r>
    </w:p>
    <w:p w14:paraId="2C6D2007">
      <w:pPr>
        <w:pStyle w:val="175"/>
        <w:ind w:firstLine="480"/>
      </w:pPr>
      <w:r>
        <w:rPr>
          <w:rFonts w:hint="eastAsia"/>
        </w:rPr>
        <w:t>支持采集卡API和DSHOW方式进行图像采集，支持视频录像，并对视频进行压缩。</w:t>
      </w:r>
    </w:p>
    <w:p w14:paraId="634A5B7A">
      <w:pPr>
        <w:pStyle w:val="175"/>
        <w:ind w:firstLine="480"/>
      </w:pPr>
      <w:r>
        <w:rPr>
          <w:rFonts w:hint="eastAsia"/>
        </w:rPr>
        <w:t>支持高清采集卡，支持1920x1080p分辨率显示动态图像</w:t>
      </w:r>
    </w:p>
    <w:p w14:paraId="5C13355B">
      <w:pPr>
        <w:pStyle w:val="175"/>
        <w:ind w:firstLine="480"/>
      </w:pPr>
      <w:r>
        <w:rPr>
          <w:rFonts w:hint="eastAsia"/>
        </w:rPr>
        <w:t>支持采集图像同时有声音提示，支持电脑蜂鸣器和音箱输出采图声音</w:t>
      </w:r>
    </w:p>
    <w:p w14:paraId="665FAC09">
      <w:pPr>
        <w:pStyle w:val="175"/>
        <w:ind w:firstLine="480"/>
      </w:pPr>
      <w:r>
        <w:rPr>
          <w:rFonts w:hint="eastAsia"/>
        </w:rPr>
        <w:t>支持报告图片排序规则、图片大小设置</w:t>
      </w:r>
    </w:p>
    <w:p w14:paraId="677CBEF7">
      <w:pPr>
        <w:pStyle w:val="175"/>
        <w:ind w:firstLine="480"/>
      </w:pPr>
      <w:r>
        <w:rPr>
          <w:rFonts w:hint="eastAsia"/>
        </w:rPr>
        <w:t>支持图像部位标注、图像编辑</w:t>
      </w:r>
    </w:p>
    <w:p w14:paraId="4EB26123">
      <w:pPr>
        <w:pStyle w:val="175"/>
        <w:ind w:firstLine="480"/>
      </w:pPr>
      <w:r>
        <w:rPr>
          <w:rFonts w:hint="eastAsia"/>
        </w:rPr>
        <w:t>支持多种默认图像伪彩协议、自定义伪彩协议设定</w:t>
      </w:r>
    </w:p>
    <w:p w14:paraId="391D5A1F">
      <w:pPr>
        <w:pStyle w:val="175"/>
        <w:ind w:firstLine="480"/>
      </w:pPr>
      <w:r>
        <w:rPr>
          <w:rFonts w:hint="eastAsia"/>
        </w:rPr>
        <w:t>支持快捷打印超声图像</w:t>
      </w:r>
    </w:p>
    <w:p w14:paraId="72E76E89">
      <w:pPr>
        <w:pStyle w:val="175"/>
        <w:ind w:firstLine="480"/>
      </w:pPr>
      <w:r>
        <w:rPr>
          <w:rFonts w:hint="eastAsia"/>
        </w:rPr>
        <w:t>支持图像导入和导出</w:t>
      </w:r>
    </w:p>
    <w:p w14:paraId="40AE1E33">
      <w:pPr>
        <w:pStyle w:val="175"/>
        <w:ind w:firstLine="480"/>
      </w:pPr>
      <w:r>
        <w:rPr>
          <w:rFonts w:hint="eastAsia"/>
        </w:rPr>
        <w:t>支持对图像定标长度测量</w:t>
      </w:r>
    </w:p>
    <w:p w14:paraId="0FC92446">
      <w:pPr>
        <w:pStyle w:val="175"/>
        <w:ind w:firstLine="480"/>
      </w:pPr>
      <w:r>
        <w:rPr>
          <w:rFonts w:hint="eastAsia"/>
        </w:rPr>
        <w:t>支持多个镜头切换显示超声图像</w:t>
      </w:r>
    </w:p>
    <w:p w14:paraId="591C6D42">
      <w:pPr>
        <w:pStyle w:val="8"/>
        <w:numPr>
          <w:ilvl w:val="5"/>
          <w:numId w:val="16"/>
        </w:numPr>
        <w:rPr>
          <w:rFonts w:eastAsia="宋体"/>
        </w:rPr>
      </w:pPr>
      <w:r>
        <w:rPr>
          <w:rFonts w:hint="eastAsia" w:eastAsia="宋体"/>
        </w:rPr>
        <w:t>报告处理软件</w:t>
      </w:r>
    </w:p>
    <w:p w14:paraId="65192547">
      <w:pPr>
        <w:pStyle w:val="3"/>
      </w:pPr>
      <w:r>
        <w:rPr>
          <w:rFonts w:hint="eastAsia" w:asciiTheme="minorEastAsia" w:hAnsiTheme="minorEastAsia" w:eastAsiaTheme="minorEastAsia"/>
        </w:rPr>
        <w:t>支持以下功能：</w:t>
      </w:r>
    </w:p>
    <w:p w14:paraId="6C70262B">
      <w:pPr>
        <w:pStyle w:val="175"/>
        <w:ind w:firstLine="480"/>
      </w:pPr>
      <w:bookmarkStart w:id="248" w:name="_Toc80"/>
      <w:r>
        <w:rPr>
          <w:rFonts w:hint="eastAsia"/>
        </w:rPr>
        <w:t>支持报告模板树形管理结构，根据检查类型自动锁定模板内容</w:t>
      </w:r>
    </w:p>
    <w:p w14:paraId="6E7D0861">
      <w:pPr>
        <w:pStyle w:val="175"/>
        <w:ind w:firstLine="480"/>
      </w:pPr>
      <w:r>
        <w:rPr>
          <w:rFonts w:hint="eastAsia"/>
        </w:rPr>
        <w:t>支持系统模板和个人私有模板</w:t>
      </w:r>
    </w:p>
    <w:p w14:paraId="6EB18E88">
      <w:pPr>
        <w:pStyle w:val="175"/>
        <w:ind w:firstLine="480"/>
      </w:pPr>
      <w:r>
        <w:rPr>
          <w:rFonts w:hint="eastAsia"/>
        </w:rPr>
        <w:t>支持报告内容超链接提示，右键点击下拉选择词库</w:t>
      </w:r>
    </w:p>
    <w:p w14:paraId="002F7886">
      <w:pPr>
        <w:pStyle w:val="175"/>
        <w:ind w:firstLine="480"/>
      </w:pPr>
      <w:r>
        <w:rPr>
          <w:rFonts w:hint="eastAsia"/>
        </w:rPr>
        <w:t>支持报告内容用词禁忌提示</w:t>
      </w:r>
    </w:p>
    <w:p w14:paraId="38199208">
      <w:pPr>
        <w:pStyle w:val="175"/>
        <w:ind w:firstLine="480"/>
      </w:pPr>
      <w:r>
        <w:rPr>
          <w:rFonts w:hint="eastAsia"/>
        </w:rPr>
        <w:t>支持二级审核、三级审核模式</w:t>
      </w:r>
    </w:p>
    <w:p w14:paraId="252B7C2B">
      <w:pPr>
        <w:pStyle w:val="175"/>
        <w:ind w:firstLine="480"/>
      </w:pPr>
      <w:r>
        <w:rPr>
          <w:rFonts w:hint="eastAsia"/>
        </w:rPr>
        <w:t>支持报告审核退回功能，发回报告医师重新书写。</w:t>
      </w:r>
    </w:p>
    <w:p w14:paraId="49CCB91F">
      <w:pPr>
        <w:pStyle w:val="175"/>
        <w:ind w:firstLine="480"/>
      </w:pPr>
      <w:r>
        <w:rPr>
          <w:rFonts w:hint="eastAsia"/>
        </w:rPr>
        <w:t>支持保存报告时自动判断是否填写阴阳性</w:t>
      </w:r>
    </w:p>
    <w:p w14:paraId="4A62A9A9">
      <w:pPr>
        <w:pStyle w:val="175"/>
        <w:ind w:firstLine="480"/>
      </w:pPr>
      <w:r>
        <w:rPr>
          <w:rFonts w:hint="eastAsia"/>
        </w:rPr>
        <w:t>支持关联报告附注到报告单</w:t>
      </w:r>
    </w:p>
    <w:p w14:paraId="62395E50">
      <w:pPr>
        <w:pStyle w:val="175"/>
        <w:ind w:firstLine="480"/>
      </w:pPr>
      <w:r>
        <w:rPr>
          <w:rFonts w:hint="eastAsia"/>
        </w:rPr>
        <w:t>支持心脏、血管、胎儿、产科、子宫、双胎等测值模板，支持测值参数维护</w:t>
      </w:r>
    </w:p>
    <w:p w14:paraId="3E29EE32">
      <w:pPr>
        <w:pStyle w:val="175"/>
        <w:ind w:firstLine="480"/>
      </w:pPr>
      <w:r>
        <w:rPr>
          <w:rFonts w:hint="eastAsia"/>
        </w:rPr>
        <w:t>支持查看申请单图片或者电子申请单</w:t>
      </w:r>
    </w:p>
    <w:p w14:paraId="47875C49">
      <w:pPr>
        <w:pStyle w:val="175"/>
        <w:ind w:firstLine="480"/>
      </w:pPr>
      <w:r>
        <w:rPr>
          <w:rFonts w:hint="eastAsia"/>
        </w:rPr>
        <w:t>支持报告预览界面选择报告图片数量、报告类型、调整字体大小、报告样式、打印机等</w:t>
      </w:r>
    </w:p>
    <w:p w14:paraId="627BC860">
      <w:pPr>
        <w:pStyle w:val="175"/>
        <w:ind w:firstLine="480"/>
      </w:pPr>
      <w:r>
        <w:rPr>
          <w:rFonts w:hint="eastAsia"/>
        </w:rPr>
        <w:t>支持危急值维护和提交</w:t>
      </w:r>
    </w:p>
    <w:p w14:paraId="3E23B89E">
      <w:pPr>
        <w:pStyle w:val="175"/>
        <w:ind w:firstLine="480"/>
      </w:pPr>
      <w:r>
        <w:rPr>
          <w:rFonts w:hint="eastAsia"/>
        </w:rPr>
        <w:t>支持已打印发布报告追回的功能</w:t>
      </w:r>
    </w:p>
    <w:p w14:paraId="77A82482">
      <w:pPr>
        <w:pStyle w:val="175"/>
        <w:ind w:firstLine="480"/>
      </w:pPr>
      <w:r>
        <w:rPr>
          <w:rFonts w:hint="eastAsia"/>
        </w:rPr>
        <w:t>支持按指定时间和医生角色开启临时报告</w:t>
      </w:r>
    </w:p>
    <w:p w14:paraId="5CD1E087">
      <w:pPr>
        <w:pStyle w:val="175"/>
        <w:ind w:firstLine="480"/>
      </w:pPr>
      <w:r>
        <w:rPr>
          <w:rFonts w:hint="eastAsia"/>
        </w:rPr>
        <w:t>支持查看该患者既往检查的报告、图像用来对比，支持导入报告到当前患者</w:t>
      </w:r>
    </w:p>
    <w:p w14:paraId="100513EA">
      <w:pPr>
        <w:pStyle w:val="175"/>
        <w:ind w:firstLine="480"/>
      </w:pPr>
      <w:r>
        <w:rPr>
          <w:rFonts w:hint="eastAsia"/>
        </w:rPr>
        <w:t>支检查记录、报告痕迹跟踪</w:t>
      </w:r>
    </w:p>
    <w:p w14:paraId="713B0459">
      <w:pPr>
        <w:pStyle w:val="175"/>
        <w:ind w:firstLine="480"/>
      </w:pPr>
      <w:r>
        <w:rPr>
          <w:rFonts w:hint="eastAsia"/>
        </w:rPr>
        <w:t>支持报告痕迹对比列表：当前报告信息与历史检查的报告信息对比；当前报告信息与检查记录中的修改记录对比；以不同颜色突出显示修改痕迹</w:t>
      </w:r>
    </w:p>
    <w:p w14:paraId="4E352329">
      <w:pPr>
        <w:pStyle w:val="175"/>
        <w:ind w:firstLine="480"/>
      </w:pPr>
      <w:r>
        <w:rPr>
          <w:rFonts w:hint="eastAsia"/>
        </w:rPr>
        <w:t>支持危急值智能提醒功能，并且弹框勾选对应的危急值</w:t>
      </w:r>
    </w:p>
    <w:p w14:paraId="038EE3FA">
      <w:pPr>
        <w:pStyle w:val="175"/>
        <w:ind w:firstLine="480"/>
      </w:pPr>
      <w:r>
        <w:rPr>
          <w:rFonts w:hint="eastAsia"/>
        </w:rPr>
        <w:t>支持通过第三方接口实现危急值闭环管理</w:t>
      </w:r>
    </w:p>
    <w:p w14:paraId="22C074B0">
      <w:pPr>
        <w:pStyle w:val="8"/>
        <w:numPr>
          <w:ilvl w:val="5"/>
          <w:numId w:val="16"/>
        </w:numPr>
        <w:rPr>
          <w:rFonts w:eastAsia="宋体"/>
        </w:rPr>
      </w:pPr>
      <w:r>
        <w:rPr>
          <w:rFonts w:hint="eastAsia" w:eastAsia="宋体"/>
        </w:rPr>
        <w:t>病历管理</w:t>
      </w:r>
    </w:p>
    <w:p w14:paraId="7BB03522">
      <w:pPr>
        <w:pStyle w:val="3"/>
      </w:pPr>
      <w:r>
        <w:rPr>
          <w:rFonts w:hint="eastAsia" w:asciiTheme="minorEastAsia" w:hAnsiTheme="minorEastAsia" w:eastAsiaTheme="minorEastAsia"/>
        </w:rPr>
        <w:t>支持以下功能：</w:t>
      </w:r>
    </w:p>
    <w:p w14:paraId="4281751D">
      <w:pPr>
        <w:pStyle w:val="175"/>
        <w:ind w:firstLine="480"/>
      </w:pPr>
      <w:r>
        <w:rPr>
          <w:rFonts w:hint="eastAsia"/>
        </w:rPr>
        <w:t>支持按病人编号、病人姓名、性别、年龄、检查日期、检查号、诊断医师、申请科室、设备 类型、检查部位、申请医师、报告医师、操作医师、审核医师、显示诊断结论、显示报告状态、显示审核状态等查询条件查询患者，并打开患者报告。</w:t>
      </w:r>
    </w:p>
    <w:p w14:paraId="42EEBBA5">
      <w:pPr>
        <w:pStyle w:val="175"/>
        <w:ind w:firstLine="480"/>
      </w:pPr>
      <w:r>
        <w:rPr>
          <w:rFonts w:hint="eastAsia"/>
        </w:rPr>
        <w:t>支持以不同颜色区分不同的检查状态，按检查状态快速查询所需检查记录</w:t>
      </w:r>
    </w:p>
    <w:p w14:paraId="30DB2C44">
      <w:pPr>
        <w:pStyle w:val="175"/>
        <w:ind w:firstLine="480"/>
      </w:pPr>
      <w:r>
        <w:rPr>
          <w:rFonts w:hint="eastAsia"/>
        </w:rPr>
        <w:t>支持列表与队列二种排版方式</w:t>
      </w:r>
    </w:p>
    <w:p w14:paraId="7A59A588">
      <w:pPr>
        <w:pStyle w:val="175"/>
        <w:ind w:firstLine="480"/>
      </w:pPr>
      <w:r>
        <w:rPr>
          <w:rFonts w:hint="eastAsia"/>
        </w:rPr>
        <w:t>支持建立患者随访库、典型病历</w:t>
      </w:r>
    </w:p>
    <w:p w14:paraId="6312577D">
      <w:pPr>
        <w:pStyle w:val="175"/>
        <w:ind w:firstLine="480"/>
      </w:pPr>
      <w:r>
        <w:rPr>
          <w:rFonts w:hint="eastAsia"/>
        </w:rPr>
        <w:t>支持查看患者既往病历、申请单、报告、条码等数据</w:t>
      </w:r>
    </w:p>
    <w:p w14:paraId="7CC917C5">
      <w:pPr>
        <w:pStyle w:val="175"/>
        <w:ind w:firstLine="480"/>
      </w:pPr>
      <w:r>
        <w:rPr>
          <w:rFonts w:hint="eastAsia"/>
        </w:rPr>
        <w:t>支持患者数据导出</w:t>
      </w:r>
    </w:p>
    <w:p w14:paraId="37886255">
      <w:pPr>
        <w:pStyle w:val="175"/>
        <w:ind w:firstLine="480"/>
      </w:pPr>
      <w:r>
        <w:rPr>
          <w:rFonts w:hint="eastAsia"/>
        </w:rPr>
        <w:t>支持检查列表字段的调节</w:t>
      </w:r>
    </w:p>
    <w:p w14:paraId="1AD86588">
      <w:pPr>
        <w:pStyle w:val="175"/>
        <w:ind w:firstLine="480"/>
      </w:pPr>
      <w:r>
        <w:rPr>
          <w:rFonts w:hint="eastAsia"/>
        </w:rPr>
        <w:t>支持报告补打、批量打印</w:t>
      </w:r>
    </w:p>
    <w:p w14:paraId="7DF1092C">
      <w:pPr>
        <w:pStyle w:val="175"/>
        <w:ind w:firstLine="480"/>
      </w:pPr>
      <w:r>
        <w:rPr>
          <w:rFonts w:hint="eastAsia"/>
        </w:rPr>
        <w:t>支持患者痕迹查询</w:t>
      </w:r>
    </w:p>
    <w:p w14:paraId="2186BBAA">
      <w:pPr>
        <w:pStyle w:val="7"/>
        <w:numPr>
          <w:ilvl w:val="4"/>
          <w:numId w:val="16"/>
        </w:numPr>
      </w:pPr>
      <w:bookmarkStart w:id="249" w:name="_Toc17119"/>
      <w:r>
        <w:rPr>
          <w:rFonts w:hint="eastAsia"/>
        </w:rPr>
        <w:t>主任管理工作站</w:t>
      </w:r>
      <w:bookmarkEnd w:id="248"/>
      <w:bookmarkEnd w:id="249"/>
    </w:p>
    <w:p w14:paraId="2B68E0C1">
      <w:pPr>
        <w:pStyle w:val="8"/>
        <w:numPr>
          <w:ilvl w:val="5"/>
          <w:numId w:val="16"/>
        </w:numPr>
      </w:pPr>
      <w:r>
        <w:rPr>
          <w:rFonts w:hint="eastAsia"/>
        </w:rPr>
        <w:t>具备医师工作站所有功能</w:t>
      </w:r>
    </w:p>
    <w:p w14:paraId="247AD725">
      <w:pPr>
        <w:pStyle w:val="8"/>
        <w:numPr>
          <w:ilvl w:val="5"/>
          <w:numId w:val="16"/>
        </w:numPr>
      </w:pPr>
      <w:r>
        <w:rPr>
          <w:rFonts w:hint="eastAsia"/>
        </w:rPr>
        <w:t>统计分析软件</w:t>
      </w:r>
    </w:p>
    <w:p w14:paraId="3678F74A">
      <w:pPr>
        <w:pStyle w:val="3"/>
      </w:pPr>
      <w:r>
        <w:rPr>
          <w:rFonts w:hint="eastAsia" w:asciiTheme="minorEastAsia" w:hAnsiTheme="minorEastAsia" w:eastAsiaTheme="minorEastAsia"/>
        </w:rPr>
        <w:t>支持以下功能：</w:t>
      </w:r>
    </w:p>
    <w:p w14:paraId="6E3B8F5E">
      <w:pPr>
        <w:pStyle w:val="175"/>
        <w:ind w:firstLine="480"/>
      </w:pPr>
      <w:r>
        <w:rPr>
          <w:rFonts w:hint="eastAsia"/>
        </w:rPr>
        <w:t>支持按时间、检查类型、送检科室等条件筛选统计</w:t>
      </w:r>
    </w:p>
    <w:p w14:paraId="66D2F569">
      <w:pPr>
        <w:pStyle w:val="175"/>
        <w:ind w:firstLine="480"/>
      </w:pPr>
      <w:r>
        <w:rPr>
          <w:rFonts w:hint="eastAsia"/>
        </w:rPr>
        <w:t>支持统计模板树形管理结构，快速调用统计模板</w:t>
      </w:r>
    </w:p>
    <w:p w14:paraId="311046D5">
      <w:pPr>
        <w:pStyle w:val="175"/>
        <w:ind w:firstLine="480"/>
      </w:pPr>
      <w:r>
        <w:rPr>
          <w:rFonts w:hint="eastAsia"/>
        </w:rPr>
        <w:t>支持自由选择是否启用统计起始时间段，精确到秒级</w:t>
      </w:r>
    </w:p>
    <w:p w14:paraId="04A8AE39">
      <w:pPr>
        <w:pStyle w:val="175"/>
        <w:ind w:firstLine="480"/>
      </w:pPr>
      <w:r>
        <w:rPr>
          <w:rFonts w:hint="eastAsia"/>
        </w:rPr>
        <w:t>支持登记、技师、报告医生、审核医生等角色工作量统计</w:t>
      </w:r>
    </w:p>
    <w:p w14:paraId="1BE904CD">
      <w:pPr>
        <w:pStyle w:val="175"/>
        <w:ind w:firstLine="480"/>
      </w:pPr>
      <w:r>
        <w:rPr>
          <w:rFonts w:hint="eastAsia"/>
        </w:rPr>
        <w:t>支持各个设备检查效益统计</w:t>
      </w:r>
    </w:p>
    <w:p w14:paraId="20F8F9EB">
      <w:pPr>
        <w:pStyle w:val="175"/>
        <w:ind w:firstLine="480"/>
      </w:pPr>
      <w:r>
        <w:rPr>
          <w:rFonts w:hint="eastAsia"/>
        </w:rPr>
        <w:t>支持检查部位、阳性率、危急值、增强等指标统计</w:t>
      </w:r>
    </w:p>
    <w:p w14:paraId="68056BDD">
      <w:pPr>
        <w:pStyle w:val="175"/>
        <w:ind w:firstLine="480"/>
      </w:pPr>
      <w:r>
        <w:rPr>
          <w:rFonts w:hint="eastAsia"/>
        </w:rPr>
        <w:t>支持可视化统计模板设计</w:t>
      </w:r>
    </w:p>
    <w:p w14:paraId="3D9F4224">
      <w:pPr>
        <w:pStyle w:val="175"/>
        <w:ind w:firstLine="480"/>
      </w:pPr>
      <w:r>
        <w:rPr>
          <w:rFonts w:hint="eastAsia"/>
        </w:rPr>
        <w:t>支持统计报表输出EXCEL、PDF、RTF、CSV等多种格式文件</w:t>
      </w:r>
    </w:p>
    <w:p w14:paraId="74F6DC3E">
      <w:pPr>
        <w:pStyle w:val="8"/>
        <w:numPr>
          <w:ilvl w:val="5"/>
          <w:numId w:val="16"/>
        </w:numPr>
      </w:pPr>
      <w:r>
        <w:rPr>
          <w:rFonts w:hint="eastAsia"/>
        </w:rPr>
        <w:t>权限管理分配</w:t>
      </w:r>
    </w:p>
    <w:p w14:paraId="2CCD4B7C">
      <w:pPr>
        <w:pStyle w:val="3"/>
      </w:pPr>
      <w:r>
        <w:rPr>
          <w:rFonts w:hint="eastAsia" w:asciiTheme="minorEastAsia" w:hAnsiTheme="minorEastAsia" w:eastAsiaTheme="minorEastAsia"/>
        </w:rPr>
        <w:t>支持以下功能：</w:t>
      </w:r>
    </w:p>
    <w:p w14:paraId="70C26DE8">
      <w:pPr>
        <w:pStyle w:val="175"/>
        <w:ind w:firstLine="480"/>
      </w:pPr>
      <w:r>
        <w:rPr>
          <w:rFonts w:hint="eastAsia"/>
        </w:rPr>
        <w:t>支持设置操作者权限</w:t>
      </w:r>
    </w:p>
    <w:p w14:paraId="3D56AEC1">
      <w:pPr>
        <w:pStyle w:val="175"/>
        <w:ind w:firstLine="480"/>
      </w:pPr>
      <w:r>
        <w:rPr>
          <w:rFonts w:hint="eastAsia"/>
        </w:rPr>
        <w:t>支持查看操作日志</w:t>
      </w:r>
    </w:p>
    <w:p w14:paraId="1A37551A">
      <w:pPr>
        <w:pStyle w:val="175"/>
        <w:ind w:firstLine="480"/>
      </w:pPr>
      <w:r>
        <w:rPr>
          <w:rFonts w:hint="eastAsia"/>
        </w:rPr>
        <w:t>支持修改权限密码</w:t>
      </w:r>
    </w:p>
    <w:p w14:paraId="78EE20B1">
      <w:pPr>
        <w:pStyle w:val="175"/>
        <w:ind w:firstLine="480"/>
      </w:pPr>
      <w:r>
        <w:rPr>
          <w:rFonts w:hint="eastAsia"/>
        </w:rPr>
        <w:t>支持设置权限角色、按照角色分配权限</w:t>
      </w:r>
    </w:p>
    <w:p w14:paraId="1C1A06D7">
      <w:pPr>
        <w:pStyle w:val="8"/>
        <w:numPr>
          <w:ilvl w:val="5"/>
          <w:numId w:val="16"/>
        </w:numPr>
      </w:pPr>
      <w:r>
        <w:rPr>
          <w:rFonts w:hint="eastAsia"/>
        </w:rPr>
        <w:t>系统后台管理</w:t>
      </w:r>
    </w:p>
    <w:p w14:paraId="75C13F3F">
      <w:pPr>
        <w:pStyle w:val="3"/>
      </w:pPr>
      <w:r>
        <w:rPr>
          <w:rFonts w:hint="eastAsia" w:asciiTheme="minorEastAsia" w:hAnsiTheme="minorEastAsia" w:eastAsiaTheme="minorEastAsia"/>
        </w:rPr>
        <w:t>支持以下功能：</w:t>
      </w:r>
    </w:p>
    <w:p w14:paraId="1A6CBF45">
      <w:pPr>
        <w:pStyle w:val="175"/>
        <w:ind w:firstLine="480"/>
      </w:pPr>
      <w:r>
        <w:rPr>
          <w:rFonts w:hint="eastAsia"/>
        </w:rPr>
        <w:t>支持系统界面皮肤颜色设置</w:t>
      </w:r>
    </w:p>
    <w:p w14:paraId="62375F7E">
      <w:pPr>
        <w:pStyle w:val="175"/>
        <w:ind w:firstLine="480"/>
      </w:pPr>
      <w:r>
        <w:rPr>
          <w:rFonts w:hint="eastAsia"/>
        </w:rPr>
        <w:t>支持页面自由拖拽、组合、排版、定义大小布局</w:t>
      </w:r>
    </w:p>
    <w:p w14:paraId="65C6E613">
      <w:pPr>
        <w:pStyle w:val="175"/>
        <w:ind w:firstLine="480"/>
      </w:pPr>
      <w:r>
        <w:rPr>
          <w:rFonts w:hint="eastAsia"/>
        </w:rPr>
        <w:t>支持可以配置三种报告审核模式：无审核模式、常规模式、申请审核模式(支持审核不通过退回的功能)</w:t>
      </w:r>
    </w:p>
    <w:p w14:paraId="6AEAE173">
      <w:pPr>
        <w:pStyle w:val="175"/>
        <w:ind w:firstLine="480"/>
      </w:pPr>
      <w:r>
        <w:rPr>
          <w:rFonts w:hint="eastAsia"/>
        </w:rPr>
        <w:t>支持在HIS/EMR系统配合开发的情况下，可视化配置电子病历路径及参数</w:t>
      </w:r>
    </w:p>
    <w:p w14:paraId="706A1F85">
      <w:pPr>
        <w:pStyle w:val="175"/>
        <w:ind w:firstLine="480"/>
      </w:pPr>
      <w:r>
        <w:rPr>
          <w:rFonts w:hint="eastAsia"/>
        </w:rPr>
        <w:t>支持病人检查历史记录关联字段选择，提供卡号、放射号、模糊条件关联查询</w:t>
      </w:r>
    </w:p>
    <w:p w14:paraId="0BEB9C45">
      <w:pPr>
        <w:pStyle w:val="175"/>
        <w:ind w:firstLine="480"/>
      </w:pPr>
      <w:r>
        <w:rPr>
          <w:rFonts w:hint="eastAsia"/>
        </w:rPr>
        <w:t>支持海量词库维护</w:t>
      </w:r>
    </w:p>
    <w:p w14:paraId="231D9506">
      <w:pPr>
        <w:pStyle w:val="175"/>
        <w:ind w:firstLine="480"/>
      </w:pPr>
      <w:r>
        <w:rPr>
          <w:rFonts w:hint="eastAsia"/>
        </w:rPr>
        <w:t>支持检查测值维护</w:t>
      </w:r>
    </w:p>
    <w:p w14:paraId="68C72D10">
      <w:pPr>
        <w:pStyle w:val="175"/>
        <w:ind w:firstLine="480"/>
      </w:pPr>
      <w:r>
        <w:rPr>
          <w:rFonts w:hint="eastAsia"/>
        </w:rPr>
        <w:t>支持科室医生工作排班管理</w:t>
      </w:r>
    </w:p>
    <w:p w14:paraId="020B9C12">
      <w:pPr>
        <w:pStyle w:val="175"/>
        <w:ind w:firstLine="480"/>
      </w:pPr>
      <w:r>
        <w:rPr>
          <w:rFonts w:hint="eastAsia"/>
        </w:rPr>
        <w:t>支持删除信息日志管理</w:t>
      </w:r>
    </w:p>
    <w:p w14:paraId="18DFC7B8">
      <w:pPr>
        <w:pStyle w:val="175"/>
        <w:ind w:firstLine="480"/>
      </w:pPr>
      <w:r>
        <w:rPr>
          <w:rFonts w:hint="eastAsia"/>
        </w:rPr>
        <w:t>支持典型病例管理</w:t>
      </w:r>
    </w:p>
    <w:p w14:paraId="0BC49DE6">
      <w:pPr>
        <w:pStyle w:val="175"/>
        <w:ind w:firstLine="480"/>
      </w:pPr>
      <w:r>
        <w:rPr>
          <w:rFonts w:hint="eastAsia"/>
        </w:rPr>
        <w:t>支持报告模板维护</w:t>
      </w:r>
    </w:p>
    <w:p w14:paraId="5BA9B1BB">
      <w:pPr>
        <w:pStyle w:val="175"/>
        <w:ind w:firstLine="480"/>
      </w:pPr>
      <w:r>
        <w:rPr>
          <w:rFonts w:hint="eastAsia"/>
        </w:rPr>
        <w:t>支持报告样式编辑</w:t>
      </w:r>
    </w:p>
    <w:p w14:paraId="4A0000E9">
      <w:pPr>
        <w:pStyle w:val="175"/>
        <w:ind w:firstLine="480"/>
      </w:pPr>
      <w:r>
        <w:rPr>
          <w:rFonts w:hint="eastAsia"/>
        </w:rPr>
        <w:t>支持可视化的界面设计</w:t>
      </w:r>
    </w:p>
    <w:p w14:paraId="2DC9EABF">
      <w:pPr>
        <w:pStyle w:val="175"/>
        <w:ind w:firstLine="480"/>
      </w:pPr>
      <w:r>
        <w:rPr>
          <w:rFonts w:hint="eastAsia"/>
        </w:rPr>
        <w:t>支持报告编辑段落空格设置</w:t>
      </w:r>
    </w:p>
    <w:p w14:paraId="554E1841">
      <w:pPr>
        <w:pStyle w:val="175"/>
        <w:ind w:firstLine="480"/>
        <w:rPr>
          <w:color w:val="000000"/>
        </w:rPr>
      </w:pPr>
      <w:r>
        <w:rPr>
          <w:rFonts w:hint="eastAsia"/>
        </w:rPr>
        <w:t>支持新建检查信息默认字段设置</w:t>
      </w:r>
    </w:p>
    <w:p w14:paraId="0531BBF2">
      <w:pPr>
        <w:pStyle w:val="3"/>
        <w:ind w:firstLine="0" w:firstLineChars="0"/>
      </w:pPr>
    </w:p>
    <w:p w14:paraId="27E14215">
      <w:pPr>
        <w:pStyle w:val="5"/>
        <w:numPr>
          <w:ilvl w:val="2"/>
          <w:numId w:val="16"/>
        </w:numPr>
      </w:pPr>
      <w:bookmarkStart w:id="250" w:name="_Toc202539073"/>
      <w:r>
        <w:rPr>
          <w:rFonts w:hint="eastAsia"/>
        </w:rPr>
        <w:t>区域病理诊断中心</w:t>
      </w:r>
      <w:bookmarkEnd w:id="250"/>
    </w:p>
    <w:p w14:paraId="01B9B440">
      <w:pPr>
        <w:pStyle w:val="3"/>
      </w:pPr>
      <w:r>
        <w:rPr>
          <w:rFonts w:hint="eastAsia"/>
        </w:rPr>
        <w:t>以乌拉特前旗人民医院的病理系统为主，延伸覆盖基层机构，实现区域病理诊断中心。</w:t>
      </w:r>
    </w:p>
    <w:p w14:paraId="2313ED06">
      <w:pPr>
        <w:pStyle w:val="6"/>
        <w:numPr>
          <w:ilvl w:val="3"/>
          <w:numId w:val="16"/>
        </w:numPr>
      </w:pPr>
      <w:bookmarkStart w:id="251" w:name="_Toc2949"/>
      <w:bookmarkStart w:id="252" w:name="_Toc18126"/>
      <w:bookmarkStart w:id="253" w:name="_Toc8509"/>
      <w:bookmarkStart w:id="254" w:name="_Toc3547"/>
      <w:bookmarkStart w:id="255" w:name="_Toc18013"/>
      <w:bookmarkStart w:id="256" w:name="_Toc3843"/>
      <w:bookmarkStart w:id="257" w:name="_Toc21246"/>
      <w:bookmarkStart w:id="258" w:name="_Toc2851"/>
      <w:bookmarkStart w:id="259" w:name="_Toc1188"/>
      <w:bookmarkStart w:id="260" w:name="_Toc27184"/>
      <w:r>
        <w:rPr>
          <w:rFonts w:hint="eastAsia" w:eastAsia="宋体"/>
        </w:rPr>
        <w:t>登记工作站</w:t>
      </w:r>
      <w:bookmarkEnd w:id="251"/>
      <w:bookmarkEnd w:id="252"/>
      <w:bookmarkEnd w:id="253"/>
      <w:bookmarkEnd w:id="254"/>
      <w:bookmarkEnd w:id="255"/>
      <w:bookmarkEnd w:id="256"/>
      <w:bookmarkEnd w:id="257"/>
      <w:bookmarkEnd w:id="258"/>
      <w:bookmarkEnd w:id="259"/>
      <w:bookmarkEnd w:id="260"/>
    </w:p>
    <w:p w14:paraId="4C74931B">
      <w:pPr>
        <w:pStyle w:val="7"/>
        <w:numPr>
          <w:ilvl w:val="4"/>
          <w:numId w:val="16"/>
        </w:numPr>
        <w:rPr>
          <w:rFonts w:eastAsia="宋体"/>
        </w:rPr>
      </w:pPr>
      <w:r>
        <w:rPr>
          <w:rFonts w:hint="eastAsia" w:eastAsia="宋体"/>
        </w:rPr>
        <w:t>病历信息管理</w:t>
      </w:r>
    </w:p>
    <w:p w14:paraId="03E4D154">
      <w:pPr>
        <w:pStyle w:val="3"/>
      </w:pPr>
      <w:r>
        <w:rPr>
          <w:rFonts w:hint="eastAsia" w:asciiTheme="minorEastAsia" w:hAnsiTheme="minorEastAsia" w:eastAsiaTheme="minorEastAsia"/>
        </w:rPr>
        <w:t>支持以下功能：</w:t>
      </w:r>
    </w:p>
    <w:p w14:paraId="657A53C1">
      <w:pPr>
        <w:pStyle w:val="175"/>
        <w:ind w:firstLine="480"/>
      </w:pPr>
      <w:r>
        <w:rPr>
          <w:rFonts w:hint="eastAsia"/>
        </w:rPr>
        <w:t>支持通过第三方接口从HIS、体检等厂商直接获取检查数据，进行自动登记；</w:t>
      </w:r>
    </w:p>
    <w:p w14:paraId="7280E67E">
      <w:pPr>
        <w:pStyle w:val="175"/>
        <w:ind w:firstLine="480"/>
      </w:pPr>
      <w:r>
        <w:rPr>
          <w:rFonts w:hint="eastAsia"/>
        </w:rPr>
        <w:t>支持用户手动登记患者数据；</w:t>
      </w:r>
    </w:p>
    <w:p w14:paraId="4A0CD868">
      <w:pPr>
        <w:pStyle w:val="175"/>
        <w:ind w:firstLine="480"/>
      </w:pPr>
      <w:r>
        <w:rPr>
          <w:rFonts w:hint="eastAsia"/>
        </w:rPr>
        <w:t>支持快速批量登记的功能；</w:t>
      </w:r>
    </w:p>
    <w:p w14:paraId="1740BFBF">
      <w:pPr>
        <w:pStyle w:val="175"/>
        <w:ind w:firstLine="480"/>
      </w:pPr>
      <w:r>
        <w:rPr>
          <w:rFonts w:hint="eastAsia"/>
        </w:rPr>
        <w:t>支持选择已维护的词组进行填写；</w:t>
      </w:r>
    </w:p>
    <w:p w14:paraId="2355F7E0">
      <w:pPr>
        <w:pStyle w:val="175"/>
        <w:ind w:firstLine="480"/>
      </w:pPr>
      <w:r>
        <w:rPr>
          <w:rFonts w:hint="eastAsia"/>
        </w:rPr>
        <w:t>支持常规、冰冻、液基细胞学、特检等病理检查不同的病理号规则；</w:t>
      </w:r>
    </w:p>
    <w:p w14:paraId="54B94F79">
      <w:pPr>
        <w:pStyle w:val="175"/>
        <w:ind w:firstLine="480"/>
      </w:pPr>
      <w:r>
        <w:rPr>
          <w:rFonts w:hint="eastAsia"/>
        </w:rPr>
        <w:t>支持病理号按照当前病例库的编号规则自动升位，也可直接提取最大号作为病理号，还可手工调整，登记时出现病理号重号有自动提示；</w:t>
      </w:r>
    </w:p>
    <w:p w14:paraId="5AA62A94">
      <w:pPr>
        <w:pStyle w:val="175"/>
        <w:ind w:firstLine="480"/>
      </w:pPr>
      <w:r>
        <w:rPr>
          <w:rFonts w:hint="eastAsia"/>
        </w:rPr>
        <w:t>支持打印门诊病人回执，约定取报告的时间和地点；</w:t>
      </w:r>
    </w:p>
    <w:p w14:paraId="5A2225AC">
      <w:pPr>
        <w:pStyle w:val="7"/>
        <w:numPr>
          <w:ilvl w:val="4"/>
          <w:numId w:val="16"/>
        </w:numPr>
        <w:rPr>
          <w:rFonts w:eastAsia="宋体"/>
        </w:rPr>
      </w:pPr>
      <w:r>
        <w:rPr>
          <w:rFonts w:hint="eastAsia" w:eastAsia="宋体"/>
        </w:rPr>
        <w:t>标本登记管理</w:t>
      </w:r>
    </w:p>
    <w:p w14:paraId="03448239">
      <w:pPr>
        <w:pStyle w:val="3"/>
      </w:pPr>
      <w:r>
        <w:rPr>
          <w:rFonts w:hint="eastAsia" w:asciiTheme="minorEastAsia" w:hAnsiTheme="minorEastAsia" w:eastAsiaTheme="minorEastAsia"/>
        </w:rPr>
        <w:t>支持以下功能：</w:t>
      </w:r>
    </w:p>
    <w:p w14:paraId="66BDBE2A">
      <w:pPr>
        <w:pStyle w:val="175"/>
        <w:ind w:firstLine="480"/>
      </w:pPr>
      <w:r>
        <w:rPr>
          <w:rFonts w:hint="eastAsia"/>
        </w:rPr>
        <w:t>支持标本登记：支持录入标本类型、标本名称、标本大小等；</w:t>
      </w:r>
    </w:p>
    <w:p w14:paraId="18A270C8">
      <w:pPr>
        <w:pStyle w:val="175"/>
        <w:ind w:firstLine="480"/>
      </w:pPr>
      <w:r>
        <w:rPr>
          <w:rFonts w:hint="eastAsia"/>
        </w:rPr>
        <w:t>支持标本删除：支持对已登记的标本进行删除的功能；</w:t>
      </w:r>
    </w:p>
    <w:p w14:paraId="25084E3E">
      <w:pPr>
        <w:pStyle w:val="175"/>
        <w:ind w:firstLine="480"/>
      </w:pPr>
      <w:r>
        <w:rPr>
          <w:rFonts w:hint="eastAsia"/>
        </w:rPr>
        <w:t>支持标本修改：支持对已登记的标本进行数据更改的功能；</w:t>
      </w:r>
    </w:p>
    <w:p w14:paraId="712115CE">
      <w:pPr>
        <w:pStyle w:val="175"/>
        <w:ind w:firstLine="480"/>
      </w:pPr>
      <w:r>
        <w:rPr>
          <w:rFonts w:hint="eastAsia"/>
        </w:rPr>
        <w:t>支持标本退单：支持对已登记的标本信息进行清空的功能；</w:t>
      </w:r>
    </w:p>
    <w:p w14:paraId="6674E3C9">
      <w:pPr>
        <w:pStyle w:val="175"/>
        <w:ind w:firstLine="480"/>
      </w:pPr>
      <w:r>
        <w:rPr>
          <w:rFonts w:hint="eastAsia"/>
        </w:rPr>
        <w:t>支持标本扫描记录功能；</w:t>
      </w:r>
    </w:p>
    <w:p w14:paraId="42C509CD">
      <w:pPr>
        <w:pStyle w:val="175"/>
        <w:ind w:firstLine="480"/>
      </w:pPr>
      <w:r>
        <w:rPr>
          <w:rFonts w:hint="eastAsia"/>
        </w:rPr>
        <w:t>支持打印标本签收单、标本拒收单；</w:t>
      </w:r>
    </w:p>
    <w:p w14:paraId="7867D5D9">
      <w:pPr>
        <w:pStyle w:val="175"/>
        <w:ind w:firstLine="480"/>
      </w:pPr>
      <w:r>
        <w:rPr>
          <w:rFonts w:hint="eastAsia"/>
        </w:rPr>
        <w:t>支持选择检查状态、检查日期、病理号、姓名等条件查询患者数据；</w:t>
      </w:r>
    </w:p>
    <w:p w14:paraId="5672232F">
      <w:pPr>
        <w:pStyle w:val="175"/>
        <w:ind w:firstLine="480"/>
      </w:pPr>
      <w:r>
        <w:rPr>
          <w:rFonts w:hint="eastAsia"/>
        </w:rPr>
        <w:t>支持提供简单记录查询、一般组合查询、复杂自定义查询，查询结果显示在“病例列表”中；</w:t>
      </w:r>
    </w:p>
    <w:p w14:paraId="3D95AECC">
      <w:pPr>
        <w:pStyle w:val="175"/>
        <w:ind w:firstLine="480"/>
      </w:pPr>
      <w:r>
        <w:rPr>
          <w:rFonts w:hint="eastAsia"/>
        </w:rPr>
        <w:t>支持切换不同的病理库进行患者登记及查询；</w:t>
      </w:r>
    </w:p>
    <w:p w14:paraId="223F01CD">
      <w:pPr>
        <w:pStyle w:val="175"/>
        <w:ind w:firstLine="480"/>
      </w:pPr>
      <w:r>
        <w:rPr>
          <w:rFonts w:hint="eastAsia"/>
        </w:rPr>
        <w:t>支持常规登记提取冰冻病人基础信息功能（在申请号处填写上冰冻病理号即可提取）。</w:t>
      </w:r>
    </w:p>
    <w:p w14:paraId="683B1D5C">
      <w:pPr>
        <w:pStyle w:val="6"/>
        <w:numPr>
          <w:ilvl w:val="3"/>
          <w:numId w:val="16"/>
        </w:numPr>
      </w:pPr>
      <w:bookmarkStart w:id="261" w:name="_Toc10430"/>
      <w:bookmarkStart w:id="262" w:name="_Toc13866"/>
      <w:bookmarkStart w:id="263" w:name="_Toc14107"/>
      <w:bookmarkStart w:id="264" w:name="_Toc13561"/>
      <w:bookmarkStart w:id="265" w:name="_Toc27015"/>
      <w:bookmarkStart w:id="266" w:name="_Toc23531"/>
      <w:bookmarkStart w:id="267" w:name="_Toc15788"/>
      <w:bookmarkStart w:id="268" w:name="_Toc8763"/>
      <w:bookmarkStart w:id="269" w:name="_Toc3705"/>
      <w:bookmarkStart w:id="270" w:name="_Toc26"/>
      <w:r>
        <w:rPr>
          <w:rFonts w:hint="eastAsia" w:eastAsia="宋体"/>
        </w:rPr>
        <w:t>取材工作站</w:t>
      </w:r>
      <w:bookmarkEnd w:id="261"/>
      <w:bookmarkEnd w:id="262"/>
      <w:bookmarkEnd w:id="263"/>
      <w:bookmarkEnd w:id="264"/>
      <w:bookmarkEnd w:id="265"/>
      <w:bookmarkEnd w:id="266"/>
      <w:bookmarkEnd w:id="267"/>
      <w:bookmarkEnd w:id="268"/>
      <w:bookmarkEnd w:id="269"/>
      <w:bookmarkEnd w:id="270"/>
    </w:p>
    <w:p w14:paraId="53B2974C">
      <w:pPr>
        <w:pStyle w:val="7"/>
        <w:numPr>
          <w:ilvl w:val="4"/>
          <w:numId w:val="16"/>
        </w:numPr>
        <w:rPr>
          <w:rFonts w:eastAsia="宋体"/>
        </w:rPr>
      </w:pPr>
      <w:r>
        <w:rPr>
          <w:rFonts w:hint="eastAsia" w:eastAsia="宋体"/>
        </w:rPr>
        <w:t>大体摄像</w:t>
      </w:r>
    </w:p>
    <w:p w14:paraId="1550D7C3">
      <w:pPr>
        <w:pStyle w:val="3"/>
      </w:pPr>
      <w:r>
        <w:rPr>
          <w:rFonts w:hint="eastAsia" w:asciiTheme="minorEastAsia" w:hAnsiTheme="minorEastAsia" w:eastAsiaTheme="minorEastAsia"/>
        </w:rPr>
        <w:t>支持以下功能：</w:t>
      </w:r>
    </w:p>
    <w:p w14:paraId="51BDCC94">
      <w:pPr>
        <w:pStyle w:val="175"/>
        <w:ind w:firstLine="480"/>
      </w:pPr>
      <w:r>
        <w:rPr>
          <w:rFonts w:hint="eastAsia"/>
        </w:rPr>
        <w:t>支持连接大体摄像视频；</w:t>
      </w:r>
    </w:p>
    <w:p w14:paraId="21D3E458">
      <w:pPr>
        <w:pStyle w:val="175"/>
        <w:ind w:firstLine="480"/>
      </w:pPr>
      <w:r>
        <w:rPr>
          <w:rFonts w:hint="eastAsia"/>
        </w:rPr>
        <w:t>支持大体图像单帧采集；</w:t>
      </w:r>
    </w:p>
    <w:p w14:paraId="0A615948">
      <w:pPr>
        <w:pStyle w:val="175"/>
        <w:ind w:firstLine="480"/>
      </w:pPr>
      <w:r>
        <w:rPr>
          <w:rFonts w:hint="eastAsia"/>
        </w:rPr>
        <w:t>支持维护大体所见模板内容；</w:t>
      </w:r>
    </w:p>
    <w:p w14:paraId="3C46CE1C">
      <w:pPr>
        <w:pStyle w:val="175"/>
        <w:ind w:firstLine="480"/>
      </w:pPr>
      <w:r>
        <w:rPr>
          <w:rFonts w:hint="eastAsia"/>
        </w:rPr>
        <w:t>支持从已维护模板导入当前大体所见编辑界面</w:t>
      </w:r>
    </w:p>
    <w:p w14:paraId="48D16C4E">
      <w:pPr>
        <w:pStyle w:val="175"/>
        <w:ind w:firstLine="480"/>
      </w:pPr>
      <w:r>
        <w:rPr>
          <w:rFonts w:hint="eastAsia"/>
        </w:rPr>
        <w:t>大体所见描述新增、修改；</w:t>
      </w:r>
    </w:p>
    <w:p w14:paraId="02DFBB0C">
      <w:pPr>
        <w:pStyle w:val="175"/>
        <w:ind w:firstLine="480"/>
      </w:pPr>
      <w:r>
        <w:rPr>
          <w:rFonts w:hint="eastAsia"/>
        </w:rPr>
        <w:t>大体图像的标记、测量；</w:t>
      </w:r>
    </w:p>
    <w:p w14:paraId="6E941AE0">
      <w:pPr>
        <w:pStyle w:val="175"/>
        <w:ind w:firstLine="480"/>
      </w:pPr>
      <w:r>
        <w:rPr>
          <w:rFonts w:hint="eastAsia"/>
        </w:rPr>
        <w:t>支持记录病例的取材明细、状态及取材医生的信息；</w:t>
      </w:r>
    </w:p>
    <w:p w14:paraId="4CAA6455">
      <w:pPr>
        <w:pStyle w:val="7"/>
        <w:numPr>
          <w:ilvl w:val="4"/>
          <w:numId w:val="16"/>
        </w:numPr>
        <w:rPr>
          <w:rFonts w:eastAsia="宋体"/>
        </w:rPr>
      </w:pPr>
      <w:r>
        <w:rPr>
          <w:rFonts w:hint="eastAsia" w:eastAsia="宋体"/>
        </w:rPr>
        <w:t>取材管理</w:t>
      </w:r>
    </w:p>
    <w:p w14:paraId="650050F7">
      <w:pPr>
        <w:pStyle w:val="3"/>
      </w:pPr>
      <w:r>
        <w:rPr>
          <w:rFonts w:hint="eastAsia" w:asciiTheme="minorEastAsia" w:hAnsiTheme="minorEastAsia" w:eastAsiaTheme="minorEastAsia"/>
        </w:rPr>
        <w:t>支持以下功能：</w:t>
      </w:r>
    </w:p>
    <w:p w14:paraId="50D25DEF">
      <w:pPr>
        <w:pStyle w:val="175"/>
        <w:ind w:firstLine="480"/>
      </w:pPr>
      <w:r>
        <w:rPr>
          <w:rFonts w:hint="eastAsia"/>
        </w:rPr>
        <w:t>支持取材修改：支持对已登记的取材记录进行修改的功能；</w:t>
      </w:r>
    </w:p>
    <w:p w14:paraId="7EEF0B62">
      <w:pPr>
        <w:pStyle w:val="175"/>
        <w:ind w:firstLine="480"/>
      </w:pPr>
      <w:r>
        <w:rPr>
          <w:rFonts w:hint="eastAsia"/>
        </w:rPr>
        <w:t>支持取材删除：支持对已登记的取材记录进行删除的功能；</w:t>
      </w:r>
    </w:p>
    <w:p w14:paraId="36618A16">
      <w:pPr>
        <w:pStyle w:val="175"/>
        <w:ind w:firstLine="480"/>
      </w:pPr>
      <w:r>
        <w:rPr>
          <w:rFonts w:hint="eastAsia"/>
        </w:rPr>
        <w:t>支持病理检查底单打印的功能；</w:t>
      </w:r>
    </w:p>
    <w:p w14:paraId="39B8855A">
      <w:pPr>
        <w:pStyle w:val="175"/>
        <w:ind w:firstLine="480"/>
      </w:pPr>
      <w:r>
        <w:rPr>
          <w:rFonts w:hint="eastAsia"/>
        </w:rPr>
        <w:t>支持自动计算蜡块数量、板块数量；</w:t>
      </w:r>
    </w:p>
    <w:p w14:paraId="219E8823">
      <w:pPr>
        <w:pStyle w:val="175"/>
        <w:ind w:firstLine="480"/>
      </w:pPr>
      <w:r>
        <w:rPr>
          <w:rFonts w:hint="eastAsia"/>
        </w:rPr>
        <w:t>支持记录脱钙、脱脂情况；</w:t>
      </w:r>
    </w:p>
    <w:p w14:paraId="6920AC9C">
      <w:pPr>
        <w:pStyle w:val="175"/>
        <w:ind w:firstLine="480"/>
      </w:pPr>
      <w:r>
        <w:rPr>
          <w:rFonts w:hint="eastAsia"/>
        </w:rPr>
        <w:t>支持提供录音功能，记录取材医生的口述录入，便于取材医生校对录入员的大体检查信息；</w:t>
      </w:r>
    </w:p>
    <w:p w14:paraId="4448E87F">
      <w:pPr>
        <w:pStyle w:val="175"/>
        <w:ind w:firstLine="480"/>
      </w:pPr>
      <w:r>
        <w:rPr>
          <w:rFonts w:hint="eastAsia"/>
        </w:rPr>
        <w:t>支持提供切片工作表打印功能；</w:t>
      </w:r>
    </w:p>
    <w:p w14:paraId="62C9131F">
      <w:pPr>
        <w:pStyle w:val="175"/>
        <w:ind w:firstLine="480"/>
      </w:pPr>
      <w:r>
        <w:rPr>
          <w:rFonts w:hint="eastAsia"/>
        </w:rPr>
        <w:t>支持自动接收和提示报告医生所发的“补取”医嘱申请。</w:t>
      </w:r>
    </w:p>
    <w:p w14:paraId="42EA10CE">
      <w:pPr>
        <w:pStyle w:val="6"/>
        <w:numPr>
          <w:ilvl w:val="3"/>
          <w:numId w:val="16"/>
        </w:numPr>
      </w:pPr>
      <w:bookmarkStart w:id="271" w:name="_Toc32413"/>
      <w:bookmarkStart w:id="272" w:name="_Toc31035"/>
      <w:bookmarkStart w:id="273" w:name="_Toc3386"/>
      <w:bookmarkStart w:id="274" w:name="_Toc10552"/>
      <w:bookmarkStart w:id="275" w:name="_Toc19843"/>
      <w:bookmarkStart w:id="276" w:name="_Toc13864"/>
      <w:bookmarkStart w:id="277" w:name="_Toc20502"/>
      <w:bookmarkStart w:id="278" w:name="_Toc31199"/>
      <w:bookmarkStart w:id="279" w:name="_Toc17522"/>
      <w:bookmarkStart w:id="280" w:name="_Toc22965"/>
      <w:r>
        <w:rPr>
          <w:rFonts w:hint="eastAsia" w:eastAsia="宋体"/>
        </w:rPr>
        <w:t>制片工作站</w:t>
      </w:r>
      <w:bookmarkEnd w:id="271"/>
      <w:bookmarkEnd w:id="272"/>
      <w:bookmarkEnd w:id="273"/>
      <w:bookmarkEnd w:id="274"/>
      <w:bookmarkEnd w:id="275"/>
      <w:bookmarkEnd w:id="276"/>
      <w:bookmarkEnd w:id="277"/>
      <w:bookmarkEnd w:id="278"/>
      <w:bookmarkEnd w:id="279"/>
      <w:bookmarkEnd w:id="280"/>
    </w:p>
    <w:p w14:paraId="6A36B957">
      <w:pPr>
        <w:pStyle w:val="7"/>
        <w:numPr>
          <w:ilvl w:val="4"/>
          <w:numId w:val="16"/>
        </w:numPr>
        <w:rPr>
          <w:rFonts w:eastAsia="宋体"/>
        </w:rPr>
      </w:pPr>
      <w:r>
        <w:rPr>
          <w:rFonts w:hint="eastAsia" w:eastAsia="宋体"/>
        </w:rPr>
        <w:t>包埋管理</w:t>
      </w:r>
    </w:p>
    <w:p w14:paraId="46111990">
      <w:pPr>
        <w:pStyle w:val="3"/>
      </w:pPr>
      <w:r>
        <w:rPr>
          <w:rFonts w:hint="eastAsia" w:asciiTheme="minorEastAsia" w:hAnsiTheme="minorEastAsia" w:eastAsiaTheme="minorEastAsia"/>
        </w:rPr>
        <w:t>支持以下功能：</w:t>
      </w:r>
    </w:p>
    <w:p w14:paraId="23F11849">
      <w:pPr>
        <w:pStyle w:val="175"/>
        <w:ind w:firstLine="480"/>
      </w:pPr>
      <w:r>
        <w:rPr>
          <w:rFonts w:hint="eastAsia"/>
        </w:rPr>
        <w:t>支持自动接收取材室发送过来的所有待包埋的材块信息，供技术员在包埋时进行核对和确认；</w:t>
      </w:r>
    </w:p>
    <w:p w14:paraId="5070ADE5">
      <w:pPr>
        <w:pStyle w:val="175"/>
        <w:ind w:firstLine="480"/>
      </w:pPr>
      <w:r>
        <w:rPr>
          <w:rFonts w:hint="eastAsia"/>
        </w:rPr>
        <w:t>支持全选材块数据进行材块核对，状态更新为待包埋；</w:t>
      </w:r>
    </w:p>
    <w:p w14:paraId="13A712FC">
      <w:pPr>
        <w:pStyle w:val="175"/>
        <w:ind w:firstLine="480"/>
      </w:pPr>
      <w:r>
        <w:rPr>
          <w:rFonts w:hint="eastAsia"/>
        </w:rPr>
        <w:t>支持输入病理号、取材医生、取材日期进行数据查询；</w:t>
      </w:r>
    </w:p>
    <w:p w14:paraId="4CC5EC58">
      <w:pPr>
        <w:pStyle w:val="175"/>
        <w:ind w:firstLine="480"/>
      </w:pPr>
      <w:r>
        <w:rPr>
          <w:rFonts w:hint="eastAsia"/>
        </w:rPr>
        <w:t>支持全选数据进行包埋确认，状态更新为待切片；</w:t>
      </w:r>
    </w:p>
    <w:p w14:paraId="0677E9F3">
      <w:pPr>
        <w:pStyle w:val="175"/>
        <w:ind w:firstLine="480"/>
      </w:pPr>
      <w:r>
        <w:rPr>
          <w:rFonts w:hint="eastAsia"/>
        </w:rPr>
        <w:t>支持对板块进行优、良、差的评级；</w:t>
      </w:r>
    </w:p>
    <w:p w14:paraId="61A0C5B0">
      <w:pPr>
        <w:pStyle w:val="175"/>
        <w:ind w:firstLine="480"/>
      </w:pPr>
      <w:r>
        <w:rPr>
          <w:rFonts w:hint="eastAsia"/>
        </w:rPr>
        <w:t>支持自动接收所有待切片的包埋记录；</w:t>
      </w:r>
    </w:p>
    <w:p w14:paraId="6693DC87">
      <w:pPr>
        <w:pStyle w:val="175"/>
        <w:ind w:firstLine="480"/>
      </w:pPr>
      <w:r>
        <w:rPr>
          <w:rFonts w:hint="eastAsia"/>
        </w:rPr>
        <w:t>支持输入病理号、包埋日期进行待切片数据查询；</w:t>
      </w:r>
    </w:p>
    <w:p w14:paraId="5146B12B">
      <w:pPr>
        <w:pStyle w:val="7"/>
        <w:numPr>
          <w:ilvl w:val="4"/>
          <w:numId w:val="16"/>
        </w:numPr>
        <w:rPr>
          <w:rFonts w:eastAsia="宋体"/>
        </w:rPr>
      </w:pPr>
      <w:r>
        <w:rPr>
          <w:rFonts w:hint="eastAsia" w:eastAsia="宋体"/>
        </w:rPr>
        <w:t>制片管理</w:t>
      </w:r>
    </w:p>
    <w:p w14:paraId="3E27D33E">
      <w:pPr>
        <w:pStyle w:val="3"/>
      </w:pPr>
      <w:r>
        <w:rPr>
          <w:rFonts w:hint="eastAsia" w:asciiTheme="minorEastAsia" w:hAnsiTheme="minorEastAsia" w:eastAsiaTheme="minorEastAsia"/>
        </w:rPr>
        <w:t>支持以下功能：</w:t>
      </w:r>
    </w:p>
    <w:p w14:paraId="5FAEB123">
      <w:pPr>
        <w:pStyle w:val="175"/>
        <w:ind w:firstLine="480"/>
      </w:pPr>
      <w:r>
        <w:rPr>
          <w:rFonts w:hint="eastAsia"/>
        </w:rPr>
        <w:t>支持全选待切片数据进行切片确认，状态更新为已制片；</w:t>
      </w:r>
    </w:p>
    <w:p w14:paraId="3B69946B">
      <w:pPr>
        <w:pStyle w:val="175"/>
        <w:ind w:firstLine="480"/>
      </w:pPr>
      <w:r>
        <w:rPr>
          <w:rFonts w:hint="eastAsia"/>
        </w:rPr>
        <w:t>支持执行输入病理号、制片日期、未打印、未核对进行数据查询；</w:t>
      </w:r>
    </w:p>
    <w:p w14:paraId="73B98A67">
      <w:pPr>
        <w:pStyle w:val="175"/>
        <w:ind w:firstLine="480"/>
      </w:pPr>
      <w:r>
        <w:rPr>
          <w:rFonts w:hint="eastAsia"/>
        </w:rPr>
        <w:t>支持全选、多选、单选未打印制片数据进行标签打印功能；</w:t>
      </w:r>
    </w:p>
    <w:p w14:paraId="37DCFBFC">
      <w:pPr>
        <w:pStyle w:val="175"/>
        <w:ind w:firstLine="480"/>
      </w:pPr>
      <w:r>
        <w:rPr>
          <w:rFonts w:hint="eastAsia"/>
        </w:rPr>
        <w:t>支持对制片数据进行优、良、差评级；</w:t>
      </w:r>
    </w:p>
    <w:p w14:paraId="691D7C00">
      <w:pPr>
        <w:pStyle w:val="175"/>
        <w:ind w:firstLine="480"/>
      </w:pPr>
      <w:r>
        <w:rPr>
          <w:rFonts w:hint="eastAsia"/>
        </w:rPr>
        <w:t>支持切片完成后，通过条码扫描进行切片确认；</w:t>
      </w:r>
    </w:p>
    <w:p w14:paraId="6D08C681">
      <w:pPr>
        <w:pStyle w:val="7"/>
        <w:numPr>
          <w:ilvl w:val="4"/>
          <w:numId w:val="16"/>
        </w:numPr>
        <w:rPr>
          <w:rFonts w:eastAsia="宋体"/>
        </w:rPr>
      </w:pPr>
      <w:r>
        <w:rPr>
          <w:rFonts w:hint="eastAsia" w:eastAsia="宋体"/>
        </w:rPr>
        <w:t>医嘱管理</w:t>
      </w:r>
    </w:p>
    <w:p w14:paraId="1D8C2F7A">
      <w:pPr>
        <w:pStyle w:val="3"/>
      </w:pPr>
      <w:r>
        <w:rPr>
          <w:rFonts w:hint="eastAsia" w:asciiTheme="minorEastAsia" w:hAnsiTheme="minorEastAsia" w:eastAsiaTheme="minorEastAsia"/>
        </w:rPr>
        <w:t>支持以下功能：</w:t>
      </w:r>
    </w:p>
    <w:p w14:paraId="17AF65B5">
      <w:pPr>
        <w:pStyle w:val="175"/>
        <w:ind w:firstLine="480"/>
      </w:pPr>
      <w:r>
        <w:rPr>
          <w:rFonts w:hint="eastAsia"/>
        </w:rPr>
        <w:t>支持自动接收诊断室下达的重切、深切、免疫组化、特殊染色、分子病理、等的医嘱记录；</w:t>
      </w:r>
    </w:p>
    <w:p w14:paraId="5211C5B5">
      <w:pPr>
        <w:pStyle w:val="175"/>
        <w:ind w:firstLine="480"/>
      </w:pPr>
      <w:r>
        <w:rPr>
          <w:rFonts w:hint="eastAsia"/>
        </w:rPr>
        <w:t>支持对数据进行医嘱核对的功能；</w:t>
      </w:r>
    </w:p>
    <w:p w14:paraId="5DA90251">
      <w:pPr>
        <w:pStyle w:val="175"/>
        <w:ind w:firstLine="480"/>
      </w:pPr>
      <w:r>
        <w:rPr>
          <w:rFonts w:hint="eastAsia"/>
        </w:rPr>
        <w:t>支持系统按照切片要求自动生成切片条码标签，可以进行手工编辑；</w:t>
      </w:r>
    </w:p>
    <w:p w14:paraId="7A762F5B">
      <w:pPr>
        <w:pStyle w:val="175"/>
        <w:ind w:firstLine="480"/>
      </w:pPr>
      <w:r>
        <w:rPr>
          <w:rFonts w:hint="eastAsia"/>
        </w:rPr>
        <w:t>支持批量打印切片条码标签；</w:t>
      </w:r>
    </w:p>
    <w:p w14:paraId="516B716F">
      <w:pPr>
        <w:pStyle w:val="6"/>
        <w:numPr>
          <w:ilvl w:val="3"/>
          <w:numId w:val="16"/>
        </w:numPr>
      </w:pPr>
      <w:bookmarkStart w:id="281" w:name="_Toc30395"/>
      <w:bookmarkStart w:id="282" w:name="_Toc21861"/>
      <w:bookmarkStart w:id="283" w:name="_Toc13344"/>
      <w:bookmarkStart w:id="284" w:name="_Toc27071"/>
      <w:bookmarkStart w:id="285" w:name="_Toc20668"/>
      <w:bookmarkStart w:id="286" w:name="_Toc1630"/>
      <w:bookmarkStart w:id="287" w:name="_Toc6024"/>
      <w:bookmarkStart w:id="288" w:name="_Toc20192"/>
      <w:bookmarkStart w:id="289" w:name="_Toc27554"/>
      <w:bookmarkStart w:id="290" w:name="_Toc22896"/>
      <w:r>
        <w:rPr>
          <w:rFonts w:hint="eastAsia" w:eastAsia="宋体"/>
        </w:rPr>
        <w:t>诊断工作站</w:t>
      </w:r>
      <w:bookmarkEnd w:id="281"/>
      <w:bookmarkEnd w:id="282"/>
      <w:bookmarkEnd w:id="283"/>
      <w:bookmarkEnd w:id="284"/>
      <w:bookmarkEnd w:id="285"/>
      <w:bookmarkEnd w:id="286"/>
      <w:bookmarkEnd w:id="287"/>
      <w:bookmarkEnd w:id="288"/>
      <w:bookmarkEnd w:id="289"/>
      <w:bookmarkEnd w:id="290"/>
    </w:p>
    <w:p w14:paraId="78ED512F">
      <w:pPr>
        <w:ind w:firstLine="420"/>
        <w:rPr>
          <w:rFonts w:ascii="宋体" w:hAnsi="宋体" w:cs="宋体"/>
        </w:rPr>
      </w:pPr>
      <w:r>
        <w:rPr>
          <w:rFonts w:hint="eastAsia"/>
        </w:rPr>
        <w:t>支持</w:t>
      </w:r>
      <w:r>
        <w:rPr>
          <w:rFonts w:hint="eastAsia" w:ascii="宋体" w:hAnsi="宋体" w:cs="宋体"/>
        </w:rPr>
        <w:t>诊断医师日常病例管理，采集典型图像，书写、提交、审核、打印诊断报告，下达医嘱申请，发起科内会诊，进行病例查询、统计等工作；细胞学统计分析、报告工作等</w:t>
      </w:r>
    </w:p>
    <w:p w14:paraId="1134300B">
      <w:pPr>
        <w:pStyle w:val="7"/>
        <w:numPr>
          <w:ilvl w:val="4"/>
          <w:numId w:val="16"/>
        </w:numPr>
        <w:rPr>
          <w:rFonts w:eastAsia="宋体"/>
        </w:rPr>
      </w:pPr>
      <w:bookmarkStart w:id="291" w:name="_Toc4799"/>
      <w:r>
        <w:rPr>
          <w:rFonts w:hint="eastAsia" w:eastAsia="宋体"/>
        </w:rPr>
        <w:t>常规诊断</w:t>
      </w:r>
      <w:bookmarkEnd w:id="291"/>
    </w:p>
    <w:p w14:paraId="1A553E54">
      <w:pPr>
        <w:pStyle w:val="3"/>
      </w:pPr>
      <w:r>
        <w:rPr>
          <w:rFonts w:hint="eastAsia" w:asciiTheme="minorEastAsia" w:hAnsiTheme="minorEastAsia" w:eastAsiaTheme="minorEastAsia"/>
        </w:rPr>
        <w:t>支持以下功能：</w:t>
      </w:r>
    </w:p>
    <w:p w14:paraId="4B042628">
      <w:pPr>
        <w:pStyle w:val="175"/>
        <w:ind w:firstLine="480"/>
      </w:pPr>
      <w:r>
        <w:rPr>
          <w:rFonts w:hint="eastAsia"/>
        </w:rPr>
        <w:t>支持打开病历时查询大体摄像、大体所见、切片、取材等信息数据；</w:t>
      </w:r>
    </w:p>
    <w:p w14:paraId="0F92BFB9">
      <w:pPr>
        <w:pStyle w:val="175"/>
        <w:ind w:firstLine="480"/>
      </w:pPr>
      <w:r>
        <w:rPr>
          <w:rFonts w:hint="eastAsia"/>
        </w:rPr>
        <w:t>支持打开病例时显示状态信息以及历次检查的情况；</w:t>
      </w:r>
    </w:p>
    <w:p w14:paraId="4AEF6D86">
      <w:pPr>
        <w:pStyle w:val="175"/>
        <w:ind w:firstLine="480"/>
      </w:pPr>
      <w:r>
        <w:rPr>
          <w:rFonts w:hint="eastAsia"/>
        </w:rPr>
        <w:t>支持选择已维护的模板导入到当前报告诊断界面；</w:t>
      </w:r>
    </w:p>
    <w:p w14:paraId="35F5A8E8">
      <w:pPr>
        <w:pStyle w:val="175"/>
        <w:ind w:firstLine="480"/>
      </w:pPr>
      <w:r>
        <w:rPr>
          <w:rFonts w:hint="eastAsia"/>
        </w:rPr>
        <w:t>支持模板维护的功能；</w:t>
      </w:r>
    </w:p>
    <w:p w14:paraId="37814F12">
      <w:pPr>
        <w:pStyle w:val="175"/>
        <w:ind w:firstLine="480"/>
      </w:pPr>
      <w:r>
        <w:rPr>
          <w:rFonts w:hint="eastAsia"/>
        </w:rPr>
        <w:t>支持鼠标点击图像进行采集；</w:t>
      </w:r>
    </w:p>
    <w:p w14:paraId="7BCFBDC4">
      <w:pPr>
        <w:pStyle w:val="175"/>
        <w:ind w:firstLine="480"/>
      </w:pPr>
      <w:r>
        <w:rPr>
          <w:rFonts w:hint="eastAsia"/>
        </w:rPr>
        <w:t>支持图像的删除及备注功能；</w:t>
      </w:r>
    </w:p>
    <w:p w14:paraId="78BAA2EA">
      <w:pPr>
        <w:pStyle w:val="175"/>
        <w:ind w:firstLine="480"/>
      </w:pPr>
      <w:r>
        <w:rPr>
          <w:rFonts w:hint="eastAsia"/>
        </w:rPr>
        <w:t>支持选择样式进行打印；</w:t>
      </w:r>
    </w:p>
    <w:p w14:paraId="07B7BA86">
      <w:pPr>
        <w:pStyle w:val="175"/>
        <w:ind w:firstLine="480"/>
      </w:pPr>
      <w:r>
        <w:rPr>
          <w:rFonts w:hint="eastAsia"/>
        </w:rPr>
        <w:t>支持光镜所见、诊断意见编辑的功能；</w:t>
      </w:r>
    </w:p>
    <w:p w14:paraId="03FED31A">
      <w:pPr>
        <w:pStyle w:val="175"/>
        <w:ind w:firstLine="480"/>
      </w:pPr>
      <w:r>
        <w:rPr>
          <w:rFonts w:hint="eastAsia"/>
        </w:rPr>
        <w:t>支持报告审核功能；</w:t>
      </w:r>
    </w:p>
    <w:p w14:paraId="78E9AFC7">
      <w:pPr>
        <w:pStyle w:val="175"/>
        <w:ind w:firstLine="480"/>
      </w:pPr>
      <w:r>
        <w:rPr>
          <w:rFonts w:hint="eastAsia"/>
        </w:rPr>
        <w:t>支持免疫组化、特殊染色结果提取功能；</w:t>
      </w:r>
    </w:p>
    <w:p w14:paraId="4B7B1913">
      <w:pPr>
        <w:pStyle w:val="175"/>
        <w:ind w:firstLine="480"/>
      </w:pPr>
      <w:r>
        <w:rPr>
          <w:rFonts w:hint="eastAsia"/>
        </w:rPr>
        <w:t>支持对临床符合、冰冻符合进行编辑；</w:t>
      </w:r>
    </w:p>
    <w:p w14:paraId="5E2E44E7">
      <w:pPr>
        <w:pStyle w:val="175"/>
        <w:ind w:firstLine="480"/>
      </w:pPr>
      <w:r>
        <w:rPr>
          <w:rFonts w:hint="eastAsia"/>
        </w:rPr>
        <w:t>支持可发出科内会诊申请，系统在“会诊病例”列表自动进行提示，其他医生进入系统后可快速打开这些会诊病例并书写自己的会诊意见；</w:t>
      </w:r>
    </w:p>
    <w:p w14:paraId="7D3AC559">
      <w:pPr>
        <w:pStyle w:val="175"/>
        <w:ind w:firstLine="480"/>
      </w:pPr>
      <w:r>
        <w:rPr>
          <w:rFonts w:hint="eastAsia"/>
        </w:rPr>
        <w:t>支持收藏病历的功能；</w:t>
      </w:r>
    </w:p>
    <w:p w14:paraId="1E7D83B6">
      <w:pPr>
        <w:pStyle w:val="175"/>
        <w:ind w:firstLine="480"/>
      </w:pPr>
      <w:r>
        <w:rPr>
          <w:rFonts w:hint="eastAsia"/>
        </w:rPr>
        <w:t>支持提供审核后的病历自动锁定功能；</w:t>
      </w:r>
    </w:p>
    <w:p w14:paraId="28A422F2">
      <w:pPr>
        <w:pStyle w:val="175"/>
        <w:ind w:firstLine="480"/>
      </w:pPr>
      <w:r>
        <w:rPr>
          <w:rFonts w:hint="eastAsia"/>
        </w:rPr>
        <w:t>支持提供ICD10疾病编码的统计检索；</w:t>
      </w:r>
    </w:p>
    <w:p w14:paraId="1574C389">
      <w:pPr>
        <w:pStyle w:val="175"/>
        <w:ind w:firstLine="480"/>
      </w:pPr>
      <w:r>
        <w:rPr>
          <w:rFonts w:hint="eastAsia"/>
        </w:rPr>
        <w:t>支持补充报告、诊断意见、冰冻结果编辑打印；</w:t>
      </w:r>
    </w:p>
    <w:p w14:paraId="0D71F08A">
      <w:pPr>
        <w:pStyle w:val="175"/>
        <w:ind w:firstLine="480"/>
      </w:pPr>
      <w:r>
        <w:rPr>
          <w:rFonts w:hint="eastAsia"/>
        </w:rPr>
        <w:t>支持选择样式进行报告打印；</w:t>
      </w:r>
    </w:p>
    <w:p w14:paraId="53D8CE1B">
      <w:pPr>
        <w:pStyle w:val="175"/>
        <w:ind w:firstLine="480"/>
      </w:pPr>
      <w:r>
        <w:rPr>
          <w:rFonts w:hint="eastAsia"/>
        </w:rPr>
        <w:t>支持报告延迟提醒功能；</w:t>
      </w:r>
    </w:p>
    <w:p w14:paraId="21212DF3">
      <w:pPr>
        <w:pStyle w:val="175"/>
        <w:ind w:firstLine="480"/>
      </w:pPr>
      <w:r>
        <w:rPr>
          <w:rFonts w:hint="eastAsia"/>
        </w:rPr>
        <w:t>支持默认选择样式、打印机的功能。</w:t>
      </w:r>
    </w:p>
    <w:p w14:paraId="29EF465E">
      <w:pPr>
        <w:pStyle w:val="7"/>
        <w:numPr>
          <w:ilvl w:val="4"/>
          <w:numId w:val="16"/>
        </w:numPr>
        <w:rPr>
          <w:rFonts w:eastAsia="宋体"/>
        </w:rPr>
      </w:pPr>
      <w:r>
        <w:rPr>
          <w:rFonts w:hint="eastAsia" w:eastAsia="宋体"/>
        </w:rPr>
        <w:t>液基细胞学诊断</w:t>
      </w:r>
    </w:p>
    <w:p w14:paraId="0A1C7999">
      <w:pPr>
        <w:pStyle w:val="3"/>
      </w:pPr>
      <w:r>
        <w:rPr>
          <w:rFonts w:hint="eastAsia" w:asciiTheme="minorEastAsia" w:hAnsiTheme="minorEastAsia" w:eastAsiaTheme="minorEastAsia"/>
        </w:rPr>
        <w:t>支持以下功能：</w:t>
      </w:r>
    </w:p>
    <w:p w14:paraId="2A85D2A1">
      <w:pPr>
        <w:pStyle w:val="175"/>
        <w:ind w:firstLine="480"/>
      </w:pPr>
      <w:r>
        <w:rPr>
          <w:rFonts w:hint="eastAsia"/>
        </w:rPr>
        <w:t>支持切换液基细胞学诊断界面；</w:t>
      </w:r>
    </w:p>
    <w:p w14:paraId="7ECF1AE5">
      <w:pPr>
        <w:pStyle w:val="175"/>
        <w:ind w:firstLine="480"/>
      </w:pPr>
      <w:r>
        <w:rPr>
          <w:rFonts w:hint="eastAsia"/>
        </w:rPr>
        <w:t>支持选择体液、妇科等标本类别，切换诊断内容界面；</w:t>
      </w:r>
    </w:p>
    <w:p w14:paraId="15AB061B">
      <w:pPr>
        <w:pStyle w:val="175"/>
        <w:ind w:firstLine="480"/>
      </w:pPr>
      <w:r>
        <w:rPr>
          <w:rFonts w:hint="eastAsia"/>
        </w:rPr>
        <w:t>支持液基细胞学诊断结果录入；</w:t>
      </w:r>
    </w:p>
    <w:p w14:paraId="0E22502D">
      <w:pPr>
        <w:pStyle w:val="175"/>
        <w:ind w:firstLine="480"/>
      </w:pPr>
      <w:r>
        <w:rPr>
          <w:rFonts w:hint="eastAsia"/>
        </w:rPr>
        <w:t>支持录入检验方法、末次月经、是否绝经等内容；</w:t>
      </w:r>
    </w:p>
    <w:p w14:paraId="6C047D68">
      <w:pPr>
        <w:pStyle w:val="175"/>
        <w:ind w:firstLine="480"/>
      </w:pPr>
      <w:r>
        <w:rPr>
          <w:rFonts w:hint="eastAsia"/>
        </w:rPr>
        <w:t>支持选择液基细胞学样式进行报告单打印。</w:t>
      </w:r>
    </w:p>
    <w:p w14:paraId="5A5A350E">
      <w:pPr>
        <w:pStyle w:val="6"/>
        <w:numPr>
          <w:ilvl w:val="3"/>
          <w:numId w:val="16"/>
        </w:numPr>
      </w:pPr>
      <w:bookmarkStart w:id="292" w:name="_Toc29134"/>
      <w:bookmarkStart w:id="293" w:name="_Toc4860"/>
      <w:bookmarkStart w:id="294" w:name="_Toc5912"/>
      <w:bookmarkStart w:id="295" w:name="_Toc24611"/>
      <w:bookmarkStart w:id="296" w:name="_Toc18184"/>
      <w:bookmarkStart w:id="297" w:name="_Toc12764"/>
      <w:bookmarkStart w:id="298" w:name="_Toc31250"/>
      <w:bookmarkStart w:id="299" w:name="_Toc9639"/>
      <w:bookmarkStart w:id="300" w:name="_Toc15832"/>
      <w:bookmarkStart w:id="301" w:name="_Toc5104"/>
      <w:r>
        <w:rPr>
          <w:rFonts w:hint="eastAsia" w:eastAsia="宋体"/>
        </w:rPr>
        <w:t>主任工作站</w:t>
      </w:r>
      <w:bookmarkEnd w:id="292"/>
      <w:bookmarkEnd w:id="293"/>
      <w:bookmarkEnd w:id="294"/>
      <w:bookmarkEnd w:id="295"/>
      <w:bookmarkEnd w:id="296"/>
      <w:bookmarkEnd w:id="297"/>
      <w:bookmarkEnd w:id="298"/>
      <w:bookmarkEnd w:id="299"/>
      <w:bookmarkEnd w:id="300"/>
      <w:bookmarkEnd w:id="301"/>
    </w:p>
    <w:p w14:paraId="15707CC2">
      <w:pPr>
        <w:ind w:firstLine="420"/>
        <w:rPr>
          <w:rFonts w:ascii="宋体" w:hAnsi="宋体" w:cs="宋体"/>
        </w:rPr>
      </w:pPr>
      <w:r>
        <w:rPr>
          <w:rFonts w:hint="eastAsia"/>
        </w:rPr>
        <w:t>支持</w:t>
      </w:r>
      <w:r>
        <w:rPr>
          <w:rFonts w:hint="eastAsia" w:ascii="宋体" w:hAnsi="宋体" w:cs="宋体"/>
        </w:rPr>
        <w:t>具有最高权限，分配各工作终端功能，分配用户权限，进行系统整体统一配置。</w:t>
      </w:r>
    </w:p>
    <w:p w14:paraId="4A4E6CA9">
      <w:pPr>
        <w:pStyle w:val="7"/>
        <w:numPr>
          <w:ilvl w:val="4"/>
          <w:numId w:val="16"/>
        </w:numPr>
        <w:rPr>
          <w:rFonts w:eastAsia="宋体"/>
        </w:rPr>
      </w:pPr>
      <w:bookmarkStart w:id="302" w:name="_Toc13510"/>
      <w:r>
        <w:rPr>
          <w:rFonts w:hint="eastAsia" w:eastAsia="宋体"/>
        </w:rPr>
        <w:t>用户权限管理</w:t>
      </w:r>
      <w:bookmarkEnd w:id="302"/>
    </w:p>
    <w:p w14:paraId="0577BF88">
      <w:pPr>
        <w:pStyle w:val="3"/>
      </w:pPr>
      <w:r>
        <w:rPr>
          <w:rFonts w:hint="eastAsia" w:asciiTheme="minorEastAsia" w:hAnsiTheme="minorEastAsia" w:eastAsiaTheme="minorEastAsia"/>
        </w:rPr>
        <w:t>支持以下功能：</w:t>
      </w:r>
    </w:p>
    <w:p w14:paraId="73A5CB98">
      <w:pPr>
        <w:pStyle w:val="175"/>
        <w:ind w:firstLine="480"/>
      </w:pPr>
      <w:r>
        <w:rPr>
          <w:rFonts w:hint="eastAsia"/>
        </w:rPr>
        <w:t>支持用户新增功能、包含用户代码、医生名称、密码、用户类型；</w:t>
      </w:r>
    </w:p>
    <w:p w14:paraId="4C4BE363">
      <w:pPr>
        <w:pStyle w:val="175"/>
        <w:ind w:firstLine="480"/>
      </w:pPr>
      <w:r>
        <w:rPr>
          <w:rFonts w:hint="eastAsia"/>
        </w:rPr>
        <w:t>支持用户权限修改功能；</w:t>
      </w:r>
    </w:p>
    <w:p w14:paraId="60490371">
      <w:pPr>
        <w:pStyle w:val="175"/>
        <w:ind w:firstLine="480"/>
      </w:pPr>
      <w:r>
        <w:rPr>
          <w:rFonts w:hint="eastAsia"/>
        </w:rPr>
        <w:t>支持用户删除功能；</w:t>
      </w:r>
    </w:p>
    <w:p w14:paraId="5E66E01B">
      <w:pPr>
        <w:pStyle w:val="175"/>
        <w:ind w:firstLine="480"/>
      </w:pPr>
      <w:r>
        <w:rPr>
          <w:rFonts w:hint="eastAsia"/>
        </w:rPr>
        <w:t>支持加载患者电子签名；</w:t>
      </w:r>
    </w:p>
    <w:p w14:paraId="177EF35C">
      <w:pPr>
        <w:pStyle w:val="175"/>
        <w:ind w:firstLine="480"/>
      </w:pPr>
      <w:r>
        <w:rPr>
          <w:rFonts w:hint="eastAsia"/>
        </w:rPr>
        <w:t>支持用户密码修改的功能。</w:t>
      </w:r>
    </w:p>
    <w:p w14:paraId="462D65FA">
      <w:pPr>
        <w:pStyle w:val="7"/>
        <w:numPr>
          <w:ilvl w:val="4"/>
          <w:numId w:val="16"/>
        </w:numPr>
        <w:rPr>
          <w:rFonts w:eastAsia="宋体"/>
        </w:rPr>
      </w:pPr>
      <w:bookmarkStart w:id="303" w:name="_Toc20541"/>
      <w:r>
        <w:rPr>
          <w:rFonts w:hint="eastAsia" w:eastAsia="宋体"/>
        </w:rPr>
        <w:t>数据统计</w:t>
      </w:r>
      <w:bookmarkEnd w:id="303"/>
    </w:p>
    <w:p w14:paraId="7350A3AA">
      <w:pPr>
        <w:pStyle w:val="3"/>
      </w:pPr>
      <w:r>
        <w:rPr>
          <w:rFonts w:hint="eastAsia" w:asciiTheme="minorEastAsia" w:hAnsiTheme="minorEastAsia" w:eastAsiaTheme="minorEastAsia"/>
        </w:rPr>
        <w:t>支持以下功能：</w:t>
      </w:r>
    </w:p>
    <w:p w14:paraId="713E5A03">
      <w:pPr>
        <w:pStyle w:val="175"/>
        <w:ind w:firstLine="480"/>
      </w:pPr>
      <w:r>
        <w:rPr>
          <w:rFonts w:hint="eastAsia"/>
        </w:rPr>
        <w:t>支持阳性率、标本来源、确费等数据查询统计；</w:t>
      </w:r>
    </w:p>
    <w:p w14:paraId="053AA053">
      <w:pPr>
        <w:pStyle w:val="175"/>
        <w:ind w:firstLine="480"/>
      </w:pPr>
      <w:r>
        <w:rPr>
          <w:rFonts w:hint="eastAsia"/>
        </w:rPr>
        <w:t>支持疾病-年龄-性别分布统计：用图表和统计表格的形式疾病-年龄-性别的关系；</w:t>
      </w:r>
    </w:p>
    <w:p w14:paraId="29E56AD1">
      <w:pPr>
        <w:pStyle w:val="175"/>
        <w:ind w:firstLine="480"/>
      </w:pPr>
      <w:r>
        <w:rPr>
          <w:rFonts w:hint="eastAsia"/>
        </w:rPr>
        <w:t>支持切片分类评级统计：包括制片人切片评级统计、制片评分表、快速制片评分表。在统计模式中选择，然后选择其他条件；</w:t>
      </w:r>
    </w:p>
    <w:p w14:paraId="12178C73">
      <w:pPr>
        <w:pStyle w:val="175"/>
        <w:ind w:firstLine="480"/>
      </w:pPr>
      <w:r>
        <w:rPr>
          <w:rFonts w:hint="eastAsia"/>
        </w:rPr>
        <w:t>支持免疫切片评级统计：包括免疫组化制片评级统计表、免疫组化制片人切片评级统计、免疫组化切片分类评级统计；</w:t>
      </w:r>
    </w:p>
    <w:p w14:paraId="098BDD40">
      <w:pPr>
        <w:pStyle w:val="175"/>
        <w:ind w:firstLine="480"/>
      </w:pPr>
      <w:r>
        <w:rPr>
          <w:rFonts w:hint="eastAsia"/>
        </w:rPr>
        <w:t>支持免疫切片评级统计：包括免疫组化制片评级统计表、免疫组化制片人切片评级统计、免疫组化切片分类评级统计；</w:t>
      </w:r>
    </w:p>
    <w:p w14:paraId="7298DDB4">
      <w:pPr>
        <w:pStyle w:val="175"/>
        <w:ind w:firstLine="480"/>
      </w:pPr>
      <w:r>
        <w:rPr>
          <w:rFonts w:hint="eastAsia"/>
        </w:rPr>
        <w:t>支持科室工作量统计：包括工作量统计月报表、季报表、半年报表、全年报表、月报合计及横排表；</w:t>
      </w:r>
    </w:p>
    <w:p w14:paraId="77ACE363">
      <w:pPr>
        <w:pStyle w:val="175"/>
        <w:ind w:firstLine="480"/>
      </w:pPr>
      <w:r>
        <w:rPr>
          <w:rFonts w:hint="eastAsia"/>
        </w:rPr>
        <w:t>支持人员工作量统计：统计人员的工作量；</w:t>
      </w:r>
    </w:p>
    <w:p w14:paraId="547D224B">
      <w:pPr>
        <w:pStyle w:val="175"/>
        <w:ind w:firstLine="480"/>
      </w:pPr>
      <w:r>
        <w:rPr>
          <w:rFonts w:hint="eastAsia"/>
        </w:rPr>
        <w:t>支持TCT不合格率、诊断符合率统计：包括统计：TCT不合格率统计（包括大于10%和小于10%的统计）、同一病例常规对快速的诊断符合率统计；</w:t>
      </w:r>
    </w:p>
    <w:p w14:paraId="6EF284A9">
      <w:pPr>
        <w:pStyle w:val="175"/>
        <w:ind w:firstLine="480"/>
      </w:pPr>
      <w:r>
        <w:rPr>
          <w:rFonts w:hint="eastAsia"/>
        </w:rPr>
        <w:t>支持切换多页面、单页面模式查看统计数据；</w:t>
      </w:r>
    </w:p>
    <w:p w14:paraId="728B06D1">
      <w:pPr>
        <w:pStyle w:val="175"/>
        <w:ind w:firstLine="480"/>
      </w:pPr>
      <w:r>
        <w:rPr>
          <w:rFonts w:hint="eastAsia"/>
        </w:rPr>
        <w:t>支持统计数据导出功能；</w:t>
      </w:r>
    </w:p>
    <w:p w14:paraId="0F848B8F">
      <w:pPr>
        <w:pStyle w:val="175"/>
        <w:ind w:firstLine="480"/>
      </w:pPr>
      <w:r>
        <w:rPr>
          <w:rFonts w:hint="eastAsia"/>
        </w:rPr>
        <w:t>支持统计数据打印的功能。</w:t>
      </w:r>
    </w:p>
    <w:p w14:paraId="31965B22">
      <w:pPr>
        <w:pStyle w:val="6"/>
        <w:numPr>
          <w:ilvl w:val="3"/>
          <w:numId w:val="16"/>
        </w:numPr>
      </w:pPr>
      <w:bookmarkStart w:id="304" w:name="_Toc8056"/>
      <w:bookmarkStart w:id="305" w:name="_Toc31684"/>
      <w:bookmarkStart w:id="306" w:name="_Toc1395"/>
      <w:bookmarkStart w:id="307" w:name="_Toc2506"/>
      <w:bookmarkStart w:id="308" w:name="_Toc5264"/>
      <w:bookmarkStart w:id="309" w:name="_Toc486"/>
      <w:bookmarkStart w:id="310" w:name="_Toc30189"/>
      <w:bookmarkStart w:id="311" w:name="_Toc19640"/>
      <w:bookmarkStart w:id="312" w:name="_Toc4482"/>
      <w:bookmarkStart w:id="313" w:name="_Toc13982"/>
      <w:r>
        <w:rPr>
          <w:rFonts w:hint="eastAsia" w:eastAsia="宋体"/>
        </w:rPr>
        <w:t>归档工作站</w:t>
      </w:r>
      <w:bookmarkEnd w:id="304"/>
      <w:bookmarkEnd w:id="305"/>
      <w:bookmarkEnd w:id="306"/>
      <w:bookmarkEnd w:id="307"/>
      <w:bookmarkEnd w:id="308"/>
      <w:bookmarkEnd w:id="309"/>
      <w:bookmarkEnd w:id="310"/>
      <w:bookmarkEnd w:id="311"/>
      <w:bookmarkEnd w:id="312"/>
      <w:bookmarkEnd w:id="313"/>
    </w:p>
    <w:p w14:paraId="221914F6">
      <w:pPr>
        <w:pStyle w:val="7"/>
        <w:numPr>
          <w:ilvl w:val="4"/>
          <w:numId w:val="16"/>
        </w:numPr>
        <w:rPr>
          <w:rFonts w:eastAsia="宋体"/>
        </w:rPr>
      </w:pPr>
      <w:r>
        <w:rPr>
          <w:rFonts w:hint="eastAsia" w:eastAsia="宋体"/>
        </w:rPr>
        <w:t>借出管理</w:t>
      </w:r>
    </w:p>
    <w:p w14:paraId="2F53D44D">
      <w:pPr>
        <w:pStyle w:val="3"/>
      </w:pPr>
      <w:r>
        <w:rPr>
          <w:rFonts w:hint="eastAsia" w:asciiTheme="minorEastAsia" w:hAnsiTheme="minorEastAsia" w:eastAsiaTheme="minorEastAsia"/>
        </w:rPr>
        <w:t>支持以下功能：</w:t>
      </w:r>
    </w:p>
    <w:p w14:paraId="55877A51">
      <w:pPr>
        <w:pStyle w:val="175"/>
        <w:ind w:firstLine="480"/>
      </w:pPr>
      <w:r>
        <w:rPr>
          <w:rFonts w:hint="eastAsia"/>
        </w:rPr>
        <w:t>支持输入病理号调阅患者病历数据，包含蜡块信息、切片信息；</w:t>
      </w:r>
    </w:p>
    <w:p w14:paraId="45018181">
      <w:pPr>
        <w:pStyle w:val="175"/>
        <w:ind w:firstLine="480"/>
      </w:pPr>
      <w:r>
        <w:rPr>
          <w:rFonts w:hint="eastAsia"/>
        </w:rPr>
        <w:t>支持自动生成借阅登记号；</w:t>
      </w:r>
    </w:p>
    <w:p w14:paraId="6F3222A6">
      <w:pPr>
        <w:pStyle w:val="175"/>
        <w:ind w:firstLine="480"/>
      </w:pPr>
      <w:r>
        <w:rPr>
          <w:rFonts w:hint="eastAsia"/>
        </w:rPr>
        <w:t>支持填写借阅人、借阅用途、借阅日期、归还日期等数据；</w:t>
      </w:r>
    </w:p>
    <w:p w14:paraId="2AFC6376">
      <w:pPr>
        <w:pStyle w:val="175"/>
        <w:ind w:firstLine="480"/>
      </w:pPr>
      <w:r>
        <w:rPr>
          <w:rFonts w:hint="eastAsia"/>
        </w:rPr>
        <w:t>支持打印回执单；</w:t>
      </w:r>
    </w:p>
    <w:p w14:paraId="6E33787F">
      <w:pPr>
        <w:pStyle w:val="175"/>
        <w:ind w:firstLine="480"/>
      </w:pPr>
      <w:r>
        <w:rPr>
          <w:rFonts w:hint="eastAsia"/>
        </w:rPr>
        <w:t>支持单选、多选蜡块、切片到借阅列表</w:t>
      </w:r>
    </w:p>
    <w:p w14:paraId="2D33351E">
      <w:pPr>
        <w:pStyle w:val="175"/>
        <w:ind w:firstLine="480"/>
      </w:pPr>
      <w:r>
        <w:rPr>
          <w:rFonts w:hint="eastAsia"/>
        </w:rPr>
        <w:t>支持借阅确认；</w:t>
      </w:r>
    </w:p>
    <w:p w14:paraId="401D0BDE">
      <w:pPr>
        <w:pStyle w:val="175"/>
        <w:ind w:firstLine="480"/>
      </w:pPr>
      <w:r>
        <w:rPr>
          <w:rFonts w:hint="eastAsia"/>
        </w:rPr>
        <w:t>支持借阅取消的功能。</w:t>
      </w:r>
    </w:p>
    <w:p w14:paraId="04827FDC">
      <w:pPr>
        <w:pStyle w:val="7"/>
        <w:numPr>
          <w:ilvl w:val="4"/>
          <w:numId w:val="16"/>
        </w:numPr>
        <w:rPr>
          <w:rFonts w:eastAsia="宋体"/>
        </w:rPr>
      </w:pPr>
      <w:r>
        <w:rPr>
          <w:rFonts w:hint="eastAsia" w:eastAsia="宋体"/>
        </w:rPr>
        <w:t>蜡块归档</w:t>
      </w:r>
    </w:p>
    <w:p w14:paraId="3849B11E">
      <w:pPr>
        <w:pStyle w:val="3"/>
      </w:pPr>
      <w:r>
        <w:rPr>
          <w:rFonts w:hint="eastAsia" w:asciiTheme="minorEastAsia" w:hAnsiTheme="minorEastAsia" w:eastAsiaTheme="minorEastAsia"/>
        </w:rPr>
        <w:t>支持以下功能：</w:t>
      </w:r>
    </w:p>
    <w:p w14:paraId="53CF81D5">
      <w:pPr>
        <w:pStyle w:val="175"/>
        <w:ind w:firstLine="480"/>
      </w:pPr>
      <w:r>
        <w:rPr>
          <w:rFonts w:hint="eastAsia"/>
        </w:rPr>
        <w:t>支持输入病理号、蜡块号、日期等条件进行数据查询的功能；</w:t>
      </w:r>
    </w:p>
    <w:p w14:paraId="28355538">
      <w:pPr>
        <w:pStyle w:val="175"/>
        <w:ind w:firstLine="480"/>
      </w:pPr>
      <w:r>
        <w:rPr>
          <w:rFonts w:hint="eastAsia"/>
        </w:rPr>
        <w:t>支持选择降序、升序的方式查看蜡块归档数据；</w:t>
      </w:r>
    </w:p>
    <w:p w14:paraId="7CDAFB2D">
      <w:pPr>
        <w:pStyle w:val="175"/>
        <w:ind w:firstLine="480"/>
      </w:pPr>
      <w:r>
        <w:rPr>
          <w:rFonts w:hint="eastAsia"/>
        </w:rPr>
        <w:t>支持选择归档、未归档进行数据查询的功能；</w:t>
      </w:r>
    </w:p>
    <w:p w14:paraId="7E0BAF67">
      <w:pPr>
        <w:pStyle w:val="175"/>
        <w:ind w:firstLine="480"/>
      </w:pPr>
      <w:r>
        <w:rPr>
          <w:rFonts w:hint="eastAsia"/>
        </w:rPr>
        <w:t>支持全选、单选、多选对未归档数据进行归档确认；</w:t>
      </w:r>
    </w:p>
    <w:p w14:paraId="0BE3D9EF">
      <w:pPr>
        <w:pStyle w:val="175"/>
        <w:ind w:firstLine="480"/>
      </w:pPr>
      <w:r>
        <w:rPr>
          <w:rFonts w:hint="eastAsia"/>
        </w:rPr>
        <w:t>支持填写归档人、归档日期、存放位置进行归档确认。</w:t>
      </w:r>
    </w:p>
    <w:p w14:paraId="79051D23">
      <w:pPr>
        <w:pStyle w:val="7"/>
        <w:numPr>
          <w:ilvl w:val="4"/>
          <w:numId w:val="16"/>
        </w:numPr>
        <w:rPr>
          <w:rFonts w:eastAsia="宋体"/>
        </w:rPr>
      </w:pPr>
      <w:r>
        <w:rPr>
          <w:rFonts w:hint="eastAsia" w:eastAsia="宋体"/>
        </w:rPr>
        <w:t>切片归档</w:t>
      </w:r>
    </w:p>
    <w:p w14:paraId="7A8AB1FF">
      <w:pPr>
        <w:pStyle w:val="3"/>
      </w:pPr>
      <w:r>
        <w:rPr>
          <w:rFonts w:hint="eastAsia" w:asciiTheme="minorEastAsia" w:hAnsiTheme="minorEastAsia" w:eastAsiaTheme="minorEastAsia"/>
        </w:rPr>
        <w:t>支持以下功能：</w:t>
      </w:r>
    </w:p>
    <w:p w14:paraId="2480D5E5">
      <w:pPr>
        <w:pStyle w:val="175"/>
        <w:ind w:firstLine="480"/>
      </w:pPr>
      <w:r>
        <w:rPr>
          <w:rFonts w:hint="eastAsia"/>
        </w:rPr>
        <w:t>支持输入病理号、切片号、日期等条件进行数据查询的功能；</w:t>
      </w:r>
    </w:p>
    <w:p w14:paraId="5E6D5F49">
      <w:pPr>
        <w:pStyle w:val="175"/>
        <w:ind w:firstLine="480"/>
      </w:pPr>
      <w:r>
        <w:rPr>
          <w:rFonts w:hint="eastAsia"/>
        </w:rPr>
        <w:t>支持选择降序、升序的方式查看切片归档数据；</w:t>
      </w:r>
    </w:p>
    <w:p w14:paraId="0750CC67">
      <w:pPr>
        <w:pStyle w:val="175"/>
        <w:ind w:firstLine="480"/>
      </w:pPr>
      <w:r>
        <w:rPr>
          <w:rFonts w:hint="eastAsia"/>
        </w:rPr>
        <w:t>支持选择归档、未归档进行数据查询的功能</w:t>
      </w:r>
    </w:p>
    <w:p w14:paraId="45FDF4BF">
      <w:pPr>
        <w:pStyle w:val="175"/>
        <w:ind w:firstLine="480"/>
      </w:pPr>
      <w:r>
        <w:rPr>
          <w:rFonts w:hint="eastAsia"/>
        </w:rPr>
        <w:t>支持全选、单选、多选对切片未归档数据进行归档确认</w:t>
      </w:r>
    </w:p>
    <w:p w14:paraId="21D929B4">
      <w:pPr>
        <w:pStyle w:val="175"/>
        <w:ind w:firstLine="480"/>
      </w:pPr>
      <w:r>
        <w:rPr>
          <w:rFonts w:hint="eastAsia"/>
        </w:rPr>
        <w:t>支持填写归档人、归档日期、存放位置进行归档确认。</w:t>
      </w:r>
    </w:p>
    <w:p w14:paraId="289E20E1">
      <w:pPr>
        <w:pStyle w:val="7"/>
        <w:numPr>
          <w:ilvl w:val="4"/>
          <w:numId w:val="16"/>
        </w:numPr>
        <w:rPr>
          <w:rFonts w:eastAsia="宋体"/>
        </w:rPr>
      </w:pPr>
      <w:r>
        <w:rPr>
          <w:rFonts w:hint="eastAsia" w:eastAsia="宋体"/>
        </w:rPr>
        <w:t>资料归档</w:t>
      </w:r>
    </w:p>
    <w:p w14:paraId="7EF60F00">
      <w:pPr>
        <w:pStyle w:val="3"/>
      </w:pPr>
      <w:r>
        <w:rPr>
          <w:rFonts w:hint="eastAsia" w:asciiTheme="minorEastAsia" w:hAnsiTheme="minorEastAsia" w:eastAsiaTheme="minorEastAsia"/>
        </w:rPr>
        <w:t>支持以下功能：</w:t>
      </w:r>
    </w:p>
    <w:p w14:paraId="3D92F678">
      <w:pPr>
        <w:pStyle w:val="175"/>
        <w:ind w:firstLine="480"/>
      </w:pPr>
      <w:r>
        <w:rPr>
          <w:rFonts w:hint="eastAsia"/>
        </w:rPr>
        <w:t>支持输入病理号、日期等条件进行数据查询的功能；</w:t>
      </w:r>
    </w:p>
    <w:p w14:paraId="0BB009F9">
      <w:pPr>
        <w:pStyle w:val="175"/>
        <w:ind w:firstLine="480"/>
      </w:pPr>
      <w:r>
        <w:rPr>
          <w:rFonts w:hint="eastAsia"/>
        </w:rPr>
        <w:t>支持选择降序、升序的方式查看数据；</w:t>
      </w:r>
    </w:p>
    <w:p w14:paraId="34A62B5D">
      <w:pPr>
        <w:pStyle w:val="175"/>
        <w:ind w:firstLine="480"/>
      </w:pPr>
      <w:r>
        <w:rPr>
          <w:rFonts w:hint="eastAsia"/>
        </w:rPr>
        <w:t>支持选择归档、未归档进行数据查询的功能；</w:t>
      </w:r>
    </w:p>
    <w:p w14:paraId="2E57D75C">
      <w:pPr>
        <w:pStyle w:val="175"/>
        <w:ind w:firstLine="480"/>
      </w:pPr>
      <w:r>
        <w:rPr>
          <w:rFonts w:hint="eastAsia"/>
        </w:rPr>
        <w:t>支持全选、单选、多选对数据进行归档确认；</w:t>
      </w:r>
    </w:p>
    <w:p w14:paraId="0C679A02">
      <w:pPr>
        <w:pStyle w:val="175"/>
        <w:ind w:firstLine="480"/>
      </w:pPr>
      <w:r>
        <w:rPr>
          <w:rFonts w:hint="eastAsia"/>
        </w:rPr>
        <w:t>支持填写归档人、归档日期、存放位置进行归档确认。</w:t>
      </w:r>
    </w:p>
    <w:p w14:paraId="537FEA73">
      <w:pPr>
        <w:pStyle w:val="6"/>
        <w:numPr>
          <w:ilvl w:val="3"/>
          <w:numId w:val="16"/>
        </w:numPr>
        <w:rPr>
          <w:lang w:val="sq-AL"/>
        </w:rPr>
      </w:pPr>
      <w:bookmarkStart w:id="314" w:name="_Toc3881"/>
      <w:bookmarkStart w:id="315" w:name="_Toc15157"/>
      <w:r>
        <w:rPr>
          <w:rFonts w:hint="eastAsia" w:eastAsia="宋体"/>
          <w:lang w:val="sq-AL"/>
        </w:rPr>
        <w:t>基层医院病理业务</w:t>
      </w:r>
      <w:r>
        <w:rPr>
          <w:rFonts w:hint="eastAsia" w:eastAsia="宋体"/>
        </w:rPr>
        <w:t>工作站</w:t>
      </w:r>
      <w:bookmarkEnd w:id="314"/>
      <w:bookmarkEnd w:id="315"/>
    </w:p>
    <w:p w14:paraId="745834AC">
      <w:pPr>
        <w:ind w:firstLine="560"/>
        <w:rPr>
          <w:rFonts w:ascii="宋体" w:hAnsi="宋体" w:cs="宋体"/>
          <w:color w:val="000000"/>
        </w:rPr>
      </w:pPr>
      <w:r>
        <w:rPr>
          <w:rFonts w:hint="eastAsia" w:ascii="宋体" w:hAnsi="宋体" w:cs="宋体"/>
          <w:color w:val="000000"/>
          <w:szCs w:val="24"/>
        </w:rPr>
        <w:t>支持标本实时状态追踪。基层医疗机构采集患者标本、登记患者信息、签收患者样本、条码绑定并记录样本信息，记录信息包括外送样本项目信息、外送时间、外送人员、委托医疗机构等。支持全条码管理流程，条码贯穿医嘱申请、样本采集、样本签收、样本外送、样本入库、样本检测、报告管理、报告审核、报告发布等流程。</w:t>
      </w:r>
    </w:p>
    <w:p w14:paraId="0E90156A">
      <w:pPr>
        <w:pStyle w:val="7"/>
        <w:numPr>
          <w:ilvl w:val="4"/>
          <w:numId w:val="16"/>
        </w:numPr>
        <w:rPr>
          <w:lang w:val="sq-AL"/>
        </w:rPr>
      </w:pPr>
      <w:bookmarkStart w:id="316" w:name="_Toc6973"/>
      <w:r>
        <w:rPr>
          <w:rFonts w:hint="eastAsia" w:eastAsia="宋体"/>
          <w:lang w:val="sq-AL"/>
        </w:rPr>
        <w:t>病理标本采集</w:t>
      </w:r>
      <w:bookmarkEnd w:id="316"/>
    </w:p>
    <w:p w14:paraId="36D759CD">
      <w:pPr>
        <w:ind w:firstLine="560"/>
        <w:rPr>
          <w:rFonts w:ascii="宋体" w:hAnsi="宋体" w:cs="宋体"/>
          <w:color w:val="000000"/>
        </w:rPr>
      </w:pPr>
      <w:r>
        <w:rPr>
          <w:rFonts w:hint="eastAsia" w:asciiTheme="minorEastAsia" w:hAnsiTheme="minorEastAsia" w:eastAsiaTheme="minorEastAsia"/>
        </w:rPr>
        <w:t>支持</w:t>
      </w:r>
      <w:r>
        <w:rPr>
          <w:rFonts w:hint="eastAsia" w:ascii="宋体" w:hAnsi="宋体" w:cs="宋体"/>
          <w:color w:val="000000"/>
          <w:szCs w:val="24"/>
        </w:rPr>
        <w:t>对于院内不进行的</w:t>
      </w:r>
      <w:r>
        <w:rPr>
          <w:rFonts w:hint="eastAsia" w:ascii="宋体" w:hAnsi="宋体" w:cs="宋体"/>
          <w:szCs w:val="24"/>
        </w:rPr>
        <w:t>病理</w:t>
      </w:r>
      <w:r>
        <w:rPr>
          <w:rFonts w:hint="eastAsia" w:ascii="宋体" w:hAnsi="宋体" w:cs="宋体"/>
          <w:color w:val="000000"/>
          <w:szCs w:val="24"/>
        </w:rPr>
        <w:t>样本检测项目，在样本采集后可通过样本外送模块选择临检中心，通过扫描条码进行外送样本信息记录，记录信息包括外送样本项目信息、外送时间、外送人员、委托医疗机构等，便于外送样本定位和跟踪。支持基层医疗机构将患者信息、病理项目信息上传至区域病理中心平台。</w:t>
      </w:r>
    </w:p>
    <w:p w14:paraId="2A1CD778">
      <w:pPr>
        <w:pStyle w:val="7"/>
        <w:numPr>
          <w:ilvl w:val="4"/>
          <w:numId w:val="16"/>
        </w:numPr>
        <w:rPr>
          <w:rFonts w:eastAsia="宋体"/>
          <w:lang w:val="sq-AL"/>
        </w:rPr>
      </w:pPr>
      <w:bookmarkStart w:id="317" w:name="_Toc10102"/>
      <w:bookmarkStart w:id="318" w:name="_Toc89544708"/>
      <w:bookmarkStart w:id="319" w:name="_Toc89544707"/>
      <w:r>
        <w:rPr>
          <w:rFonts w:hint="eastAsia" w:eastAsia="宋体"/>
          <w:lang w:val="sq-AL"/>
        </w:rPr>
        <w:t>送检消息提醒及查询</w:t>
      </w:r>
      <w:bookmarkEnd w:id="317"/>
    </w:p>
    <w:p w14:paraId="4AA7F159">
      <w:pPr>
        <w:pStyle w:val="3"/>
        <w:rPr>
          <w:lang w:val="sq-AL"/>
        </w:rPr>
      </w:pPr>
      <w:r>
        <w:rPr>
          <w:rFonts w:hint="eastAsia" w:asciiTheme="minorEastAsia" w:hAnsiTheme="minorEastAsia" w:eastAsiaTheme="minorEastAsia"/>
        </w:rPr>
        <w:t>具备支持以下功能：</w:t>
      </w:r>
    </w:p>
    <w:p w14:paraId="4B880C28">
      <w:pPr>
        <w:pStyle w:val="36"/>
        <w:spacing w:before="0" w:beforeAutospacing="0" w:after="0" w:afterAutospacing="0" w:line="360" w:lineRule="auto"/>
        <w:ind w:firstLine="480" w:firstLineChars="200"/>
        <w:jc w:val="both"/>
      </w:pPr>
      <w:r>
        <w:rPr>
          <w:rFonts w:hint="eastAsia"/>
        </w:rPr>
        <w:t>支持提供查看患者送检数据</w:t>
      </w:r>
      <w:r>
        <w:t>的功能</w:t>
      </w:r>
      <w:r>
        <w:rPr>
          <w:rFonts w:hint="eastAsia"/>
        </w:rPr>
        <w:t>。</w:t>
      </w:r>
    </w:p>
    <w:p w14:paraId="6DC4097A">
      <w:pPr>
        <w:numPr>
          <w:ilvl w:val="0"/>
          <w:numId w:val="20"/>
        </w:numPr>
        <w:ind w:left="0" w:firstLine="480" w:firstLineChars="200"/>
        <w:rPr>
          <w:rFonts w:ascii="宋体" w:hAnsi="宋体" w:cs="宋体"/>
        </w:rPr>
      </w:pPr>
      <w:r>
        <w:rPr>
          <w:rFonts w:hint="eastAsia" w:ascii="宋体" w:hAnsi="宋体" w:cs="宋体"/>
          <w:szCs w:val="24"/>
        </w:rPr>
        <w:t>消息提醒</w:t>
      </w:r>
    </w:p>
    <w:p w14:paraId="4E2EEE1D">
      <w:pPr>
        <w:ind w:left="480" w:leftChars="200"/>
        <w:rPr>
          <w:rFonts w:ascii="宋体" w:hAnsi="宋体" w:cs="宋体"/>
        </w:rPr>
      </w:pPr>
      <w:r>
        <w:rPr>
          <w:rFonts w:hint="eastAsia" w:ascii="宋体" w:hAnsi="宋体" w:cs="宋体"/>
          <w:szCs w:val="24"/>
        </w:rPr>
        <w:t>提供对病理数据进行消息提醒的功能。</w:t>
      </w:r>
    </w:p>
    <w:p w14:paraId="4FAC6B3E">
      <w:pPr>
        <w:pStyle w:val="175"/>
        <w:ind w:firstLine="480"/>
      </w:pPr>
      <w:r>
        <w:rPr>
          <w:rFonts w:hint="eastAsia"/>
        </w:rPr>
        <w:t>网页消息框提醒：提供对送检消息进行网页弹框显示的功能；</w:t>
      </w:r>
    </w:p>
    <w:p w14:paraId="5C31DB39">
      <w:pPr>
        <w:pStyle w:val="175"/>
        <w:ind w:firstLine="480"/>
      </w:pPr>
      <w:r>
        <w:rPr>
          <w:rFonts w:hint="eastAsia"/>
        </w:rPr>
        <w:t>语音提醒：提供对送检消息进行语音提醒的功能；</w:t>
      </w:r>
    </w:p>
    <w:p w14:paraId="0E5E5A1A">
      <w:pPr>
        <w:numPr>
          <w:ilvl w:val="0"/>
          <w:numId w:val="20"/>
        </w:numPr>
        <w:ind w:left="0" w:firstLine="480" w:firstLineChars="200"/>
        <w:rPr>
          <w:rFonts w:ascii="宋体" w:hAnsi="宋体" w:cs="宋体"/>
        </w:rPr>
      </w:pPr>
      <w:r>
        <w:rPr>
          <w:rFonts w:hint="eastAsia" w:ascii="宋体" w:hAnsi="宋体" w:cs="宋体"/>
          <w:szCs w:val="24"/>
        </w:rPr>
        <w:t>送检查询</w:t>
      </w:r>
    </w:p>
    <w:p w14:paraId="167BA963">
      <w:pPr>
        <w:ind w:left="480" w:leftChars="200"/>
        <w:rPr>
          <w:rFonts w:ascii="宋体" w:hAnsi="宋体" w:cs="宋体"/>
        </w:rPr>
      </w:pPr>
      <w:r>
        <w:rPr>
          <w:rFonts w:hint="eastAsia"/>
        </w:rPr>
        <w:t>支持</w:t>
      </w:r>
      <w:r>
        <w:rPr>
          <w:rFonts w:hint="eastAsia" w:ascii="宋体" w:hAnsi="宋体" w:cs="宋体"/>
          <w:szCs w:val="24"/>
        </w:rPr>
        <w:t>提供对已发起送检的患者进行数据查询的功能。</w:t>
      </w:r>
    </w:p>
    <w:p w14:paraId="3759D2D1">
      <w:pPr>
        <w:pStyle w:val="175"/>
        <w:ind w:firstLine="480"/>
      </w:pPr>
      <w:r>
        <w:rPr>
          <w:rFonts w:hint="eastAsia"/>
        </w:rPr>
        <w:t>支持患者姓名、检查类型、送检时间、送检状态查询：提供输入患者姓名、检查类型、送检时间、送检状态查询的功能；</w:t>
      </w:r>
    </w:p>
    <w:p w14:paraId="2722ABF6">
      <w:pPr>
        <w:pStyle w:val="175"/>
        <w:ind w:firstLine="480"/>
      </w:pPr>
      <w:r>
        <w:rPr>
          <w:rFonts w:hint="eastAsia"/>
        </w:rPr>
        <w:t>支持送检数据查询展示：提供查看送检患者的姓名、性别、年龄、检查类型、患者来源、发起模式、申请医生、受邀方、申请日期等数据的功能；</w:t>
      </w:r>
    </w:p>
    <w:p w14:paraId="605BA6F6">
      <w:pPr>
        <w:pStyle w:val="175"/>
        <w:ind w:firstLine="480"/>
      </w:pPr>
      <w:r>
        <w:rPr>
          <w:rFonts w:hint="eastAsia"/>
        </w:rPr>
        <w:t>支持送检数据查看方式：提供选择页面显示数量以及上下翻页查看本院送检患者列表功能。</w:t>
      </w:r>
    </w:p>
    <w:bookmarkEnd w:id="318"/>
    <w:p w14:paraId="7FE8B1B8">
      <w:pPr>
        <w:pStyle w:val="7"/>
        <w:numPr>
          <w:ilvl w:val="4"/>
          <w:numId w:val="16"/>
        </w:numPr>
        <w:rPr>
          <w:rFonts w:eastAsia="宋体"/>
          <w:lang w:val="sq-AL"/>
        </w:rPr>
      </w:pPr>
      <w:bookmarkStart w:id="320" w:name="_Toc25868"/>
      <w:r>
        <w:rPr>
          <w:rFonts w:hint="eastAsia" w:eastAsia="宋体"/>
          <w:lang w:val="sq-AL"/>
        </w:rPr>
        <w:t>送检统计</w:t>
      </w:r>
      <w:bookmarkEnd w:id="320"/>
    </w:p>
    <w:p w14:paraId="68ABB7D8">
      <w:pPr>
        <w:pStyle w:val="3"/>
        <w:rPr>
          <w:lang w:val="sq-AL"/>
        </w:rPr>
      </w:pPr>
      <w:r>
        <w:rPr>
          <w:rFonts w:hint="eastAsia" w:asciiTheme="minorEastAsia" w:hAnsiTheme="minorEastAsia" w:eastAsiaTheme="minorEastAsia"/>
        </w:rPr>
        <w:t>支持以下功能：</w:t>
      </w:r>
    </w:p>
    <w:p w14:paraId="5A49E3D3">
      <w:pPr>
        <w:pStyle w:val="36"/>
        <w:spacing w:before="0" w:beforeAutospacing="0" w:after="0" w:afterAutospacing="0" w:line="360" w:lineRule="auto"/>
        <w:ind w:firstLine="480" w:firstLineChars="200"/>
        <w:jc w:val="both"/>
      </w:pPr>
      <w:r>
        <w:rPr>
          <w:rFonts w:hint="eastAsia"/>
        </w:rPr>
        <w:t>支持提供对本院患者发起送检的病理进行数据统计的功能。</w:t>
      </w:r>
    </w:p>
    <w:p w14:paraId="635F91D5">
      <w:pPr>
        <w:pStyle w:val="175"/>
        <w:ind w:firstLine="480"/>
      </w:pPr>
      <w:r>
        <w:rPr>
          <w:rFonts w:hint="eastAsia"/>
        </w:rPr>
        <w:t>支持送检医院、送检科室、送检医生、签收医生、签收时间、报告时间统计：提供选择送检医院、送检科室、送检医生、签收医生、签收时间、报告医生、报告时间进行数据统计的功能。</w:t>
      </w:r>
    </w:p>
    <w:p w14:paraId="73C618C4">
      <w:pPr>
        <w:pStyle w:val="175"/>
        <w:ind w:firstLine="480"/>
      </w:pPr>
      <w:r>
        <w:rPr>
          <w:rFonts w:hint="eastAsia"/>
        </w:rPr>
        <w:t>支持送检数据查看：提供查看送检患者姓名、检查类型、检查部位、合作关系、切片数、申请医生、受邀医生、送检日期、送检费用等数据的功能。</w:t>
      </w:r>
    </w:p>
    <w:p w14:paraId="2F069878">
      <w:pPr>
        <w:pStyle w:val="175"/>
        <w:ind w:firstLine="480"/>
      </w:pPr>
      <w:r>
        <w:rPr>
          <w:rFonts w:hint="eastAsia"/>
        </w:rPr>
        <w:t>支持送检数据查看方式：提供选择页面显示数量以及上下翻页查看本院送检患者列表功能。</w:t>
      </w:r>
    </w:p>
    <w:p w14:paraId="356429F9">
      <w:pPr>
        <w:pStyle w:val="175"/>
        <w:ind w:firstLine="480"/>
      </w:pPr>
      <w:r>
        <w:rPr>
          <w:rFonts w:hint="eastAsia"/>
        </w:rPr>
        <w:t>支持送检数据导出：提供对送检数据进行excel导出的功能。</w:t>
      </w:r>
    </w:p>
    <w:p w14:paraId="71D512CF">
      <w:pPr>
        <w:pStyle w:val="7"/>
        <w:numPr>
          <w:ilvl w:val="4"/>
          <w:numId w:val="16"/>
        </w:numPr>
        <w:rPr>
          <w:lang w:val="sq-AL"/>
        </w:rPr>
      </w:pPr>
      <w:bookmarkStart w:id="321" w:name="_Toc4089"/>
      <w:r>
        <w:rPr>
          <w:rFonts w:hint="eastAsia" w:eastAsia="宋体"/>
          <w:lang w:val="sq-AL"/>
        </w:rPr>
        <w:t>报告预览打印</w:t>
      </w:r>
      <w:bookmarkEnd w:id="321"/>
    </w:p>
    <w:p w14:paraId="6C0A34CA">
      <w:pPr>
        <w:ind w:left="480" w:leftChars="200"/>
        <w:rPr>
          <w:rFonts w:ascii="宋体" w:hAnsi="宋体" w:cs="宋体"/>
        </w:rPr>
      </w:pPr>
      <w:r>
        <w:rPr>
          <w:rFonts w:hint="eastAsia"/>
        </w:rPr>
        <w:t>支持</w:t>
      </w:r>
      <w:r>
        <w:rPr>
          <w:rFonts w:hint="eastAsia" w:ascii="宋体" w:hAnsi="宋体" w:cs="宋体"/>
          <w:szCs w:val="24"/>
        </w:rPr>
        <w:t>提供对送检完成的报告进行预览及打印的功能。</w:t>
      </w:r>
    </w:p>
    <w:p w14:paraId="5C2D54CC">
      <w:pPr>
        <w:pStyle w:val="175"/>
        <w:ind w:firstLine="480"/>
      </w:pPr>
      <w:r>
        <w:rPr>
          <w:rFonts w:hint="eastAsia"/>
        </w:rPr>
        <w:t>支持报告预览：提供对送检报告进行预览查看的功能；</w:t>
      </w:r>
    </w:p>
    <w:p w14:paraId="310CAF74">
      <w:pPr>
        <w:pStyle w:val="175"/>
        <w:ind w:firstLine="480"/>
      </w:pPr>
      <w:r>
        <w:rPr>
          <w:rFonts w:hint="eastAsia"/>
        </w:rPr>
        <w:t>支持报告打印：提供对送检完成的患者进行会诊报告打印的功能；</w:t>
      </w:r>
    </w:p>
    <w:p w14:paraId="66AD7980">
      <w:pPr>
        <w:pStyle w:val="175"/>
        <w:ind w:firstLine="480"/>
      </w:pPr>
      <w:r>
        <w:rPr>
          <w:rFonts w:hint="eastAsia"/>
        </w:rPr>
        <w:t>支持打印机选择：提供对送检报告选择打印机的功能；</w:t>
      </w:r>
    </w:p>
    <w:p w14:paraId="09A02522">
      <w:pPr>
        <w:pStyle w:val="175"/>
        <w:ind w:firstLine="480"/>
      </w:pPr>
      <w:r>
        <w:rPr>
          <w:rFonts w:hint="eastAsia"/>
        </w:rPr>
        <w:t>支持报告样式选择：提供对报告单的样式进行选择的功能。</w:t>
      </w:r>
    </w:p>
    <w:p w14:paraId="185388ED">
      <w:pPr>
        <w:pStyle w:val="175"/>
        <w:ind w:firstLine="480"/>
      </w:pPr>
      <w:r>
        <w:rPr>
          <w:rFonts w:hint="eastAsia"/>
        </w:rPr>
        <w:t>支持院内报告查看：提供查看该患者院内报告的功能。</w:t>
      </w:r>
    </w:p>
    <w:bookmarkEnd w:id="319"/>
    <w:p w14:paraId="36905DB4">
      <w:pPr>
        <w:pStyle w:val="6"/>
        <w:numPr>
          <w:ilvl w:val="3"/>
          <w:numId w:val="16"/>
        </w:numPr>
        <w:rPr>
          <w:lang w:val="sq-AL"/>
        </w:rPr>
      </w:pPr>
      <w:bookmarkStart w:id="322" w:name="_Toc25985"/>
      <w:bookmarkStart w:id="323" w:name="_Toc22626"/>
      <w:r>
        <w:rPr>
          <w:rFonts w:hint="eastAsia" w:eastAsia="宋体"/>
          <w:lang w:val="sq-AL"/>
        </w:rPr>
        <w:t>病理中心标本流转及监控</w:t>
      </w:r>
      <w:bookmarkEnd w:id="322"/>
      <w:bookmarkEnd w:id="323"/>
    </w:p>
    <w:p w14:paraId="6B0D413D">
      <w:pPr>
        <w:pStyle w:val="7"/>
        <w:numPr>
          <w:ilvl w:val="4"/>
          <w:numId w:val="16"/>
        </w:numPr>
        <w:rPr>
          <w:lang w:val="sq-AL"/>
        </w:rPr>
      </w:pPr>
      <w:bookmarkStart w:id="324" w:name="_Toc3238"/>
      <w:r>
        <w:rPr>
          <w:rFonts w:hint="eastAsia" w:eastAsia="宋体"/>
          <w:lang w:val="sq-AL"/>
        </w:rPr>
        <w:t>病理中心标本签收</w:t>
      </w:r>
      <w:bookmarkEnd w:id="324"/>
    </w:p>
    <w:p w14:paraId="72EA9890">
      <w:pPr>
        <w:ind w:firstLine="560"/>
        <w:rPr>
          <w:rFonts w:ascii="宋体" w:hAnsi="宋体" w:cs="宋体"/>
          <w:color w:val="000000"/>
        </w:rPr>
      </w:pPr>
      <w:r>
        <w:rPr>
          <w:rFonts w:hint="eastAsia" w:ascii="宋体" w:hAnsi="宋体" w:cs="宋体"/>
          <w:color w:val="000000"/>
          <w:szCs w:val="24"/>
        </w:rPr>
        <w:t>支持病理中心通过扫描条码核对签收样本，通过数据中心下载相对应患者信息、病理项目信息。系统可查询各个医疗机构外送标本情况，运送人员接收到标本时需记录接收时间及接收人，可通过扫描条码进行签收，已接收或已签收的标本状态会实时反映在平台上，确保查询的实时和准确性，运送人员将标本送达临检中心时，需交由病理中心进行签收，并将外送清单交相关负责人。</w:t>
      </w:r>
    </w:p>
    <w:p w14:paraId="5468321D">
      <w:pPr>
        <w:ind w:firstLine="480" w:firstLineChars="200"/>
        <w:rPr>
          <w:rFonts w:ascii="宋体" w:hAnsi="宋体" w:cs="宋体"/>
          <w:color w:val="000000"/>
        </w:rPr>
      </w:pPr>
      <w:r>
        <w:rPr>
          <w:rFonts w:hint="eastAsia" w:ascii="宋体" w:hAnsi="宋体" w:cs="宋体"/>
          <w:color w:val="000000"/>
          <w:szCs w:val="24"/>
        </w:rPr>
        <w:t>支持临检中心病理报告发布，完成的检测报告上传至区域病理中心平台。</w:t>
      </w:r>
    </w:p>
    <w:p w14:paraId="584D047C">
      <w:pPr>
        <w:pStyle w:val="7"/>
        <w:numPr>
          <w:ilvl w:val="4"/>
          <w:numId w:val="16"/>
        </w:numPr>
        <w:rPr>
          <w:rFonts w:eastAsia="宋体"/>
          <w:lang w:val="sq-AL"/>
        </w:rPr>
      </w:pPr>
      <w:bookmarkStart w:id="325" w:name="_Toc20247"/>
      <w:r>
        <w:rPr>
          <w:rFonts w:hint="eastAsia" w:eastAsia="宋体"/>
          <w:lang w:val="sq-AL"/>
        </w:rPr>
        <w:t>病理中心标本流转及监控</w:t>
      </w:r>
      <w:bookmarkEnd w:id="325"/>
    </w:p>
    <w:p w14:paraId="6B4B0419">
      <w:pPr>
        <w:pStyle w:val="3"/>
        <w:rPr>
          <w:lang w:val="sq-AL"/>
        </w:rPr>
      </w:pPr>
      <w:r>
        <w:rPr>
          <w:rFonts w:hint="eastAsia" w:asciiTheme="minorEastAsia" w:hAnsiTheme="minorEastAsia" w:eastAsiaTheme="minorEastAsia"/>
        </w:rPr>
        <w:t>支持以下功能：</w:t>
      </w:r>
    </w:p>
    <w:p w14:paraId="6BBA1DE8">
      <w:pPr>
        <w:pStyle w:val="175"/>
        <w:ind w:firstLine="480"/>
      </w:pPr>
      <w:r>
        <w:rPr>
          <w:rFonts w:hint="eastAsia"/>
        </w:rPr>
        <w:t xml:space="preserve">支持实现跨院区标本互检，业务互通； </w:t>
      </w:r>
    </w:p>
    <w:p w14:paraId="30271F8D">
      <w:pPr>
        <w:pStyle w:val="175"/>
        <w:ind w:firstLine="480"/>
      </w:pPr>
      <w:r>
        <w:rPr>
          <w:rFonts w:hint="eastAsia"/>
        </w:rPr>
        <w:t>支持实现跨院区病理报告互阅；</w:t>
      </w:r>
    </w:p>
    <w:p w14:paraId="155FF18D">
      <w:pPr>
        <w:pStyle w:val="175"/>
        <w:ind w:firstLine="480"/>
      </w:pPr>
      <w:r>
        <w:rPr>
          <w:rFonts w:hint="eastAsia"/>
        </w:rPr>
        <w:t>支持多院区标本送检及医联体标本送检过程监控管理；</w:t>
      </w:r>
    </w:p>
    <w:p w14:paraId="2FAD6F5D">
      <w:pPr>
        <w:pStyle w:val="175"/>
        <w:ind w:firstLine="480"/>
      </w:pPr>
      <w:r>
        <w:rPr>
          <w:rFonts w:hint="eastAsia"/>
        </w:rPr>
        <w:t>支持全方位的统计分析功能，实现单院区综合统计与多院区集中统计分析功能，以及质控指标统计分析功能。</w:t>
      </w:r>
    </w:p>
    <w:p w14:paraId="7F39C4E8">
      <w:pPr>
        <w:pStyle w:val="7"/>
        <w:numPr>
          <w:ilvl w:val="4"/>
          <w:numId w:val="16"/>
        </w:numPr>
        <w:rPr>
          <w:rFonts w:eastAsia="宋体"/>
          <w:lang w:val="sq-AL"/>
        </w:rPr>
      </w:pPr>
      <w:bookmarkStart w:id="326" w:name="_Toc5208"/>
      <w:bookmarkStart w:id="327" w:name="_Toc89544709"/>
      <w:r>
        <w:rPr>
          <w:rFonts w:hint="eastAsia" w:eastAsia="宋体"/>
          <w:lang w:val="sq-AL"/>
        </w:rPr>
        <w:t>病理中心标本流转统计</w:t>
      </w:r>
      <w:bookmarkEnd w:id="326"/>
      <w:bookmarkEnd w:id="327"/>
    </w:p>
    <w:p w14:paraId="7D0C6AB8">
      <w:pPr>
        <w:pStyle w:val="3"/>
        <w:rPr>
          <w:lang w:val="sq-AL"/>
        </w:rPr>
      </w:pPr>
      <w:r>
        <w:rPr>
          <w:rFonts w:hint="eastAsia" w:asciiTheme="minorEastAsia" w:hAnsiTheme="minorEastAsia" w:eastAsiaTheme="minorEastAsia"/>
        </w:rPr>
        <w:t>支持以下功能：</w:t>
      </w:r>
    </w:p>
    <w:p w14:paraId="59C254B8">
      <w:pPr>
        <w:ind w:firstLine="560"/>
        <w:rPr>
          <w:rFonts w:ascii="宋体" w:hAnsi="宋体" w:cs="宋体"/>
          <w:color w:val="000000"/>
        </w:rPr>
      </w:pPr>
      <w:r>
        <w:rPr>
          <w:rFonts w:hint="eastAsia"/>
        </w:rPr>
        <w:t>支持</w:t>
      </w:r>
      <w:r>
        <w:rPr>
          <w:rFonts w:hint="eastAsia" w:ascii="宋体" w:hAnsi="宋体" w:cs="宋体"/>
          <w:color w:val="000000"/>
          <w:szCs w:val="24"/>
        </w:rPr>
        <w:t>系统可支持选择不同时间段查看病理报告查询统计，支持选择不同医疗机构进行展示；</w:t>
      </w:r>
    </w:p>
    <w:p w14:paraId="33136C90">
      <w:pPr>
        <w:ind w:firstLine="560"/>
        <w:rPr>
          <w:rFonts w:ascii="宋体" w:hAnsi="宋体" w:cs="宋体"/>
          <w:color w:val="000000"/>
        </w:rPr>
      </w:pPr>
      <w:r>
        <w:rPr>
          <w:rFonts w:hint="eastAsia" w:ascii="宋体" w:hAnsi="宋体" w:cs="宋体"/>
          <w:color w:val="000000"/>
          <w:szCs w:val="24"/>
        </w:rPr>
        <w:t>支持统计报告单类型，对比分析不同项目占比分析；</w:t>
      </w:r>
    </w:p>
    <w:p w14:paraId="33C03909">
      <w:pPr>
        <w:ind w:firstLine="560"/>
        <w:rPr>
          <w:rFonts w:ascii="宋体" w:hAnsi="宋体" w:cs="宋体"/>
          <w:color w:val="000000"/>
        </w:rPr>
      </w:pPr>
      <w:r>
        <w:rPr>
          <w:rFonts w:hint="eastAsia" w:ascii="宋体" w:hAnsi="宋体" w:cs="宋体"/>
          <w:color w:val="000000"/>
          <w:szCs w:val="24"/>
        </w:rPr>
        <w:t>支持多个单位报告单类型排名，展示送检医院、占比、数量等信息；</w:t>
      </w:r>
    </w:p>
    <w:p w14:paraId="086C3B28">
      <w:pPr>
        <w:pStyle w:val="7"/>
        <w:numPr>
          <w:ilvl w:val="4"/>
          <w:numId w:val="16"/>
        </w:numPr>
        <w:rPr>
          <w:lang w:val="sq-AL"/>
        </w:rPr>
      </w:pPr>
      <w:bookmarkStart w:id="328" w:name="_Toc16974"/>
      <w:bookmarkStart w:id="329" w:name="_Toc89544712"/>
      <w:r>
        <w:rPr>
          <w:rFonts w:hint="eastAsia" w:eastAsia="宋体"/>
          <w:lang w:val="sq-AL"/>
        </w:rPr>
        <w:t>送检综合管理</w:t>
      </w:r>
      <w:bookmarkEnd w:id="328"/>
      <w:bookmarkEnd w:id="329"/>
    </w:p>
    <w:p w14:paraId="36265342">
      <w:pPr>
        <w:ind w:firstLine="560"/>
        <w:rPr>
          <w:rFonts w:ascii="宋体" w:hAnsi="宋体" w:cs="宋体"/>
          <w:color w:val="000000"/>
        </w:rPr>
      </w:pPr>
      <w:r>
        <w:rPr>
          <w:rFonts w:hint="eastAsia" w:ascii="宋体" w:hAnsi="宋体" w:cs="宋体"/>
          <w:color w:val="000000"/>
          <w:szCs w:val="24"/>
        </w:rPr>
        <w:t>支持对各医疗机构病理数据进行统一分类管理。</w:t>
      </w:r>
    </w:p>
    <w:p w14:paraId="1C10244E">
      <w:pPr>
        <w:pStyle w:val="7"/>
        <w:numPr>
          <w:ilvl w:val="4"/>
          <w:numId w:val="16"/>
        </w:numPr>
        <w:rPr>
          <w:rFonts w:eastAsia="宋体"/>
          <w:lang w:val="sq-AL"/>
        </w:rPr>
      </w:pPr>
      <w:bookmarkStart w:id="330" w:name="_Toc89544691"/>
      <w:bookmarkStart w:id="331" w:name="_Toc5357"/>
      <w:r>
        <w:rPr>
          <w:rFonts w:hint="eastAsia" w:eastAsia="宋体"/>
          <w:lang w:val="sq-AL"/>
        </w:rPr>
        <w:t>医嘱信息统一</w:t>
      </w:r>
      <w:bookmarkEnd w:id="330"/>
      <w:r>
        <w:rPr>
          <w:rFonts w:hint="eastAsia" w:eastAsia="宋体"/>
          <w:lang w:val="sq-AL"/>
        </w:rPr>
        <w:t>维护</w:t>
      </w:r>
      <w:bookmarkEnd w:id="331"/>
    </w:p>
    <w:p w14:paraId="5D4DABC6">
      <w:pPr>
        <w:pStyle w:val="3"/>
        <w:rPr>
          <w:lang w:val="sq-AL"/>
        </w:rPr>
      </w:pPr>
      <w:r>
        <w:rPr>
          <w:rFonts w:hint="eastAsia" w:asciiTheme="minorEastAsia" w:hAnsiTheme="minorEastAsia" w:eastAsiaTheme="minorEastAsia"/>
        </w:rPr>
        <w:t>支持以下功能：</w:t>
      </w:r>
    </w:p>
    <w:p w14:paraId="0C746386">
      <w:pPr>
        <w:ind w:firstLine="560"/>
        <w:rPr>
          <w:rFonts w:ascii="宋体" w:hAnsi="宋体" w:cs="宋体"/>
        </w:rPr>
      </w:pPr>
      <w:r>
        <w:rPr>
          <w:rFonts w:hint="eastAsia"/>
        </w:rPr>
        <w:t>支持</w:t>
      </w:r>
      <w:r>
        <w:rPr>
          <w:rFonts w:hint="eastAsia" w:ascii="宋体" w:hAnsi="宋体" w:cs="宋体"/>
          <w:color w:val="000000"/>
          <w:szCs w:val="24"/>
        </w:rPr>
        <w:t>系统在使用部署时，整个区域所有的病理收费医嘱由病理中心统一维护，各个基层机构再根据实际情况，由中心机构下发对应的医嘱信息，基层机构使用医嘱情况由中心机构统一把控分发管理，防止各个基层机构自行添加收费医嘱导致项目信息混乱等情况。</w:t>
      </w:r>
    </w:p>
    <w:p w14:paraId="5F786F56">
      <w:pPr>
        <w:jc w:val="left"/>
        <w:rPr>
          <w:rFonts w:ascii="宋体" w:hAnsi="宋体" w:cs="宋体"/>
          <w:b/>
          <w:bCs/>
        </w:rPr>
      </w:pPr>
      <w:bookmarkStart w:id="332" w:name="_Toc89544692"/>
      <w:r>
        <w:rPr>
          <w:rFonts w:hint="eastAsia" w:ascii="宋体" w:hAnsi="宋体" w:cs="宋体"/>
          <w:b/>
          <w:bCs/>
          <w:szCs w:val="24"/>
        </w:rPr>
        <w:t>病理标本唯一性</w:t>
      </w:r>
      <w:bookmarkEnd w:id="332"/>
      <w:r>
        <w:rPr>
          <w:rFonts w:hint="eastAsia" w:ascii="宋体" w:hAnsi="宋体" w:cs="宋体"/>
          <w:b/>
          <w:bCs/>
          <w:szCs w:val="24"/>
        </w:rPr>
        <w:t>维护</w:t>
      </w:r>
    </w:p>
    <w:p w14:paraId="27ED8FDB">
      <w:pPr>
        <w:ind w:firstLine="560"/>
        <w:rPr>
          <w:rFonts w:ascii="宋体" w:hAnsi="宋体" w:cs="宋体"/>
          <w:color w:val="000000"/>
        </w:rPr>
      </w:pPr>
      <w:r>
        <w:rPr>
          <w:rFonts w:hint="eastAsia"/>
        </w:rPr>
        <w:t>支持</w:t>
      </w:r>
      <w:r>
        <w:rPr>
          <w:rFonts w:hint="eastAsia" w:ascii="宋体" w:hAnsi="宋体" w:cs="宋体"/>
          <w:color w:val="000000"/>
          <w:szCs w:val="24"/>
        </w:rPr>
        <w:t>整个系统在部署时，系统标本字典具有唯一属性，字典中的唯一属性包括：标本名称唯一、标本代码唯一；即同一套系统中所有机构使用同一套标本字典，由中心机构统一维护，在中心机构维护完成标本信息后，基层机构可以直接使用。</w:t>
      </w:r>
    </w:p>
    <w:p w14:paraId="38E3E771">
      <w:pPr>
        <w:jc w:val="left"/>
        <w:rPr>
          <w:rFonts w:ascii="宋体" w:hAnsi="宋体" w:cs="宋体"/>
          <w:b/>
          <w:bCs/>
        </w:rPr>
      </w:pPr>
      <w:bookmarkStart w:id="333" w:name="_Toc89544693"/>
      <w:r>
        <w:rPr>
          <w:rFonts w:hint="eastAsia" w:ascii="宋体" w:hAnsi="宋体" w:cs="宋体"/>
          <w:b/>
          <w:bCs/>
          <w:szCs w:val="24"/>
        </w:rPr>
        <w:t>病理项目统一设置</w:t>
      </w:r>
      <w:bookmarkEnd w:id="333"/>
    </w:p>
    <w:p w14:paraId="3100A23A">
      <w:pPr>
        <w:ind w:firstLine="480" w:firstLineChars="200"/>
      </w:pPr>
      <w:r>
        <w:rPr>
          <w:rFonts w:hint="eastAsia" w:ascii="宋体" w:hAnsi="宋体" w:cs="宋体"/>
          <w:color w:val="000000"/>
          <w:szCs w:val="24"/>
        </w:rPr>
        <w:t>系统内置常用病理明细项目，各个机构在维护仪器病理项目时从现有病理项目字典库中选取使用，在选取使用过程中，各个机构可以对原有项目别称单位等基础信息进行调整，调整过程中，仪器项目与基础字典中的项目关系不发生变化，中心机构在统计数据时根据项目字典进行统计，不会因基层机构修改了别称而导致数据统计出现冗余或者数据不全情况。</w:t>
      </w:r>
    </w:p>
    <w:p w14:paraId="5EFE31F0">
      <w:pPr>
        <w:pStyle w:val="5"/>
        <w:numPr>
          <w:ilvl w:val="2"/>
          <w:numId w:val="16"/>
        </w:numPr>
      </w:pPr>
      <w:bookmarkStart w:id="334" w:name="_Toc202539074"/>
      <w:r>
        <w:rPr>
          <w:rFonts w:hint="eastAsia"/>
        </w:rPr>
        <w:t>区域心电诊断中心</w:t>
      </w:r>
      <w:bookmarkEnd w:id="334"/>
    </w:p>
    <w:p w14:paraId="310093F1">
      <w:pPr>
        <w:pStyle w:val="3"/>
      </w:pPr>
      <w:r>
        <w:rPr>
          <w:rFonts w:hint="eastAsia" w:asciiTheme="minorEastAsia" w:hAnsiTheme="minorEastAsia" w:eastAsiaTheme="minorEastAsia"/>
        </w:rPr>
        <w:t>支持以下功能：</w:t>
      </w:r>
    </w:p>
    <w:tbl>
      <w:tblPr>
        <w:tblStyle w:val="4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876"/>
        <w:gridCol w:w="7367"/>
      </w:tblGrid>
      <w:tr w14:paraId="0F0C3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79" w:type="pct"/>
            <w:vAlign w:val="center"/>
          </w:tcPr>
          <w:p w14:paraId="2D5F2B67">
            <w:pPr>
              <w:widowControl/>
              <w:adjustRightInd w:val="0"/>
              <w:snapToGrid w:val="0"/>
              <w:jc w:val="center"/>
              <w:rPr>
                <w:rFonts w:ascii="宋体" w:hAnsi="宋体"/>
                <w:b/>
                <w:bCs/>
                <w:sz w:val="20"/>
              </w:rPr>
            </w:pPr>
            <w:r>
              <w:rPr>
                <w:rFonts w:ascii="宋体" w:hAnsi="宋体"/>
                <w:b/>
                <w:bCs/>
                <w:sz w:val="20"/>
              </w:rPr>
              <w:t>编号</w:t>
            </w:r>
          </w:p>
        </w:tc>
        <w:tc>
          <w:tcPr>
            <w:tcW w:w="427" w:type="pct"/>
            <w:vAlign w:val="center"/>
          </w:tcPr>
          <w:p w14:paraId="4ACC9626">
            <w:pPr>
              <w:widowControl/>
              <w:adjustRightInd w:val="0"/>
              <w:snapToGrid w:val="0"/>
              <w:jc w:val="center"/>
              <w:rPr>
                <w:rFonts w:ascii="宋体" w:hAnsi="宋体"/>
                <w:b/>
                <w:bCs/>
                <w:sz w:val="20"/>
              </w:rPr>
            </w:pPr>
            <w:r>
              <w:rPr>
                <w:rFonts w:hint="eastAsia" w:ascii="宋体" w:hAnsi="宋体"/>
                <w:b/>
                <w:bCs/>
                <w:sz w:val="20"/>
              </w:rPr>
              <w:t>模块</w:t>
            </w:r>
          </w:p>
        </w:tc>
        <w:tc>
          <w:tcPr>
            <w:tcW w:w="4094" w:type="pct"/>
            <w:vAlign w:val="center"/>
          </w:tcPr>
          <w:p w14:paraId="0CE84F81">
            <w:pPr>
              <w:widowControl/>
              <w:adjustRightInd w:val="0"/>
              <w:snapToGrid w:val="0"/>
              <w:jc w:val="center"/>
              <w:rPr>
                <w:rFonts w:ascii="宋体" w:hAnsi="宋体"/>
                <w:b/>
                <w:bCs/>
                <w:sz w:val="20"/>
              </w:rPr>
            </w:pPr>
            <w:r>
              <w:rPr>
                <w:rFonts w:hint="eastAsia" w:ascii="宋体" w:hAnsi="宋体"/>
                <w:b/>
                <w:bCs/>
                <w:sz w:val="20"/>
              </w:rPr>
              <w:t>功能需求</w:t>
            </w:r>
          </w:p>
        </w:tc>
      </w:tr>
      <w:tr w14:paraId="319F2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479" w:type="pct"/>
            <w:vAlign w:val="center"/>
          </w:tcPr>
          <w:p w14:paraId="2C86B040">
            <w:pPr>
              <w:pStyle w:val="70"/>
              <w:numPr>
                <w:ilvl w:val="0"/>
                <w:numId w:val="21"/>
              </w:numPr>
              <w:adjustRightInd w:val="0"/>
              <w:snapToGrid w:val="0"/>
              <w:spacing w:line="240" w:lineRule="auto"/>
              <w:ind w:left="0" w:firstLine="0" w:firstLineChars="0"/>
              <w:jc w:val="center"/>
              <w:rPr>
                <w:sz w:val="20"/>
              </w:rPr>
            </w:pPr>
          </w:p>
        </w:tc>
        <w:tc>
          <w:tcPr>
            <w:tcW w:w="427" w:type="pct"/>
            <w:vAlign w:val="center"/>
          </w:tcPr>
          <w:p w14:paraId="622F967A">
            <w:pPr>
              <w:adjustRightInd w:val="0"/>
              <w:snapToGrid w:val="0"/>
              <w:jc w:val="left"/>
              <w:rPr>
                <w:rFonts w:ascii="宋体" w:hAnsi="宋体"/>
                <w:sz w:val="20"/>
              </w:rPr>
            </w:pPr>
            <w:r>
              <w:rPr>
                <w:rFonts w:hint="eastAsia" w:ascii="宋体" w:hAnsi="宋体"/>
                <w:sz w:val="20"/>
              </w:rPr>
              <w:t>整体需求</w:t>
            </w:r>
          </w:p>
        </w:tc>
        <w:tc>
          <w:tcPr>
            <w:tcW w:w="4094" w:type="pct"/>
          </w:tcPr>
          <w:p w14:paraId="26FDE1BC">
            <w:pPr>
              <w:pStyle w:val="70"/>
              <w:numPr>
                <w:ilvl w:val="0"/>
                <w:numId w:val="22"/>
              </w:numPr>
              <w:adjustRightInd w:val="0"/>
              <w:snapToGrid w:val="0"/>
              <w:ind w:left="0" w:firstLine="0" w:firstLineChars="0"/>
              <w:rPr>
                <w:szCs w:val="21"/>
              </w:rPr>
            </w:pPr>
            <w:r>
              <w:rPr>
                <w:rFonts w:hint="eastAsia"/>
                <w:szCs w:val="21"/>
              </w:rPr>
              <w:t>系统建设遵循先进性、 实用性、安全性、开放性与标准化等原则，保证系统建设维护使用的低成本、可靠性、易用性和易于维护，并要求系统具有良好的扩展性。</w:t>
            </w:r>
          </w:p>
          <w:p w14:paraId="11134FE2">
            <w:pPr>
              <w:pStyle w:val="70"/>
              <w:numPr>
                <w:ilvl w:val="0"/>
                <w:numId w:val="22"/>
              </w:numPr>
              <w:adjustRightInd w:val="0"/>
              <w:snapToGrid w:val="0"/>
              <w:ind w:left="0" w:firstLine="0" w:firstLineChars="0"/>
              <w:rPr>
                <w:szCs w:val="21"/>
              </w:rPr>
            </w:pPr>
            <w:r>
              <w:rPr>
                <w:rFonts w:hint="eastAsia"/>
                <w:szCs w:val="21"/>
              </w:rPr>
              <w:t>采用统一、规范的数据存储传输规范，以解决区域内不同厂家、型号心电设备数据的兼容性问题。实现区域内心电数据共享与协同。</w:t>
            </w:r>
          </w:p>
          <w:p w14:paraId="6780BE38">
            <w:pPr>
              <w:pStyle w:val="70"/>
              <w:numPr>
                <w:ilvl w:val="0"/>
                <w:numId w:val="22"/>
              </w:numPr>
              <w:adjustRightInd w:val="0"/>
              <w:snapToGrid w:val="0"/>
              <w:ind w:left="0" w:firstLine="0" w:firstLineChars="0"/>
              <w:rPr>
                <w:szCs w:val="21"/>
              </w:rPr>
            </w:pPr>
            <w:r>
              <w:rPr>
                <w:rFonts w:hint="eastAsia"/>
                <w:szCs w:val="21"/>
              </w:rPr>
              <w:t>支持区域远程心电会诊。基层医院与诊断中心医院的心电会诊，全面提高区域范围的心电诊断质量和服务水平。</w:t>
            </w:r>
          </w:p>
          <w:p w14:paraId="7C7F6FBC">
            <w:pPr>
              <w:pStyle w:val="70"/>
              <w:numPr>
                <w:ilvl w:val="0"/>
                <w:numId w:val="22"/>
              </w:numPr>
              <w:adjustRightInd w:val="0"/>
              <w:snapToGrid w:val="0"/>
              <w:ind w:left="0" w:firstLine="0" w:firstLineChars="0"/>
              <w:rPr>
                <w:szCs w:val="21"/>
              </w:rPr>
            </w:pPr>
            <w:r>
              <w:rPr>
                <w:rFonts w:hint="eastAsia"/>
                <w:szCs w:val="21"/>
              </w:rPr>
              <w:t>支持区域心电质控及监管。区域内心电检查质量监控和基层医院心电报告质量监控，统计分析区域心电检查结果，对区域内流行病或突发事件有效监控。</w:t>
            </w:r>
          </w:p>
          <w:p w14:paraId="28A4631C">
            <w:pPr>
              <w:pStyle w:val="70"/>
              <w:numPr>
                <w:ilvl w:val="0"/>
                <w:numId w:val="22"/>
              </w:numPr>
              <w:adjustRightInd w:val="0"/>
              <w:snapToGrid w:val="0"/>
              <w:ind w:left="0" w:firstLine="0" w:firstLineChars="0"/>
              <w:rPr>
                <w:szCs w:val="21"/>
              </w:rPr>
            </w:pPr>
            <w:r>
              <w:rPr>
                <w:rFonts w:hint="eastAsia"/>
                <w:szCs w:val="21"/>
              </w:rPr>
              <w:t>建立科研资料库，由于心电图实现信息化管理，心电图的各种分类、心电图的查询、调阅和统计都变得非常方便，利用这些资源，有利于科室人员培训、研究创新、量化管理等工作开展。</w:t>
            </w:r>
          </w:p>
          <w:p w14:paraId="435722FD">
            <w:pPr>
              <w:pStyle w:val="70"/>
              <w:numPr>
                <w:ilvl w:val="0"/>
                <w:numId w:val="22"/>
              </w:numPr>
              <w:adjustRightInd w:val="0"/>
              <w:snapToGrid w:val="0"/>
              <w:ind w:left="0" w:firstLine="0" w:firstLineChars="0"/>
              <w:rPr>
                <w:szCs w:val="21"/>
              </w:rPr>
            </w:pPr>
            <w:r>
              <w:rPr>
                <w:rFonts w:hint="eastAsia"/>
                <w:szCs w:val="21"/>
              </w:rPr>
              <w:t>心电管理质控平台，通过心电网络系统规范化心电检查流程，通过统计分析为心电质控提供相应数据支持。</w:t>
            </w:r>
          </w:p>
          <w:p w14:paraId="7599B3F5">
            <w:pPr>
              <w:pStyle w:val="70"/>
              <w:widowControl/>
              <w:numPr>
                <w:ilvl w:val="0"/>
                <w:numId w:val="22"/>
              </w:numPr>
              <w:adjustRightInd w:val="0"/>
              <w:snapToGrid w:val="0"/>
              <w:ind w:left="0" w:firstLine="0" w:firstLineChars="0"/>
              <w:rPr>
                <w:szCs w:val="21"/>
              </w:rPr>
            </w:pPr>
            <w:r>
              <w:rPr>
                <w:rFonts w:hint="eastAsia"/>
                <w:szCs w:val="21"/>
              </w:rPr>
              <w:t>系统有经过IHE数字心电诊断系统集成模式和功能角色的专项测试，可以满足与医疗卫生机构信息系统和设备之间的信息互联、互通、集成共享的要求。</w:t>
            </w:r>
          </w:p>
          <w:p w14:paraId="5FCD2D60">
            <w:pPr>
              <w:pStyle w:val="70"/>
              <w:widowControl/>
              <w:numPr>
                <w:ilvl w:val="0"/>
                <w:numId w:val="22"/>
              </w:numPr>
              <w:adjustRightInd w:val="0"/>
              <w:snapToGrid w:val="0"/>
              <w:ind w:left="0" w:firstLine="0" w:firstLineChars="0"/>
              <w:rPr>
                <w:sz w:val="20"/>
              </w:rPr>
            </w:pPr>
            <w:r>
              <w:rPr>
                <w:rFonts w:hint="eastAsia"/>
                <w:szCs w:val="21"/>
              </w:rPr>
              <w:t>系统具有自动正时功能，支持与医院时间服务器同步，实现联网心电图机、工作站时间统一。</w:t>
            </w:r>
          </w:p>
          <w:p w14:paraId="0BA31F4A">
            <w:pPr>
              <w:pStyle w:val="70"/>
              <w:widowControl/>
              <w:numPr>
                <w:ilvl w:val="0"/>
                <w:numId w:val="22"/>
              </w:numPr>
              <w:adjustRightInd w:val="0"/>
              <w:snapToGrid w:val="0"/>
              <w:ind w:left="0" w:firstLine="0" w:firstLineChars="0"/>
              <w:rPr>
                <w:szCs w:val="21"/>
              </w:rPr>
            </w:pPr>
            <w:r>
              <w:rPr>
                <w:rFonts w:hint="eastAsia"/>
                <w:szCs w:val="21"/>
              </w:rPr>
              <w:t>系统安全应符合《信息安全技术网络安全等级保护基本要求》（GB/T22239-2019）国家标准，达到信息系统安全等级保护（三级）要求。</w:t>
            </w:r>
          </w:p>
        </w:tc>
      </w:tr>
      <w:tr w14:paraId="2A030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trPr>
        <w:tc>
          <w:tcPr>
            <w:tcW w:w="479" w:type="pct"/>
            <w:vAlign w:val="center"/>
          </w:tcPr>
          <w:p w14:paraId="611D6EFC">
            <w:pPr>
              <w:pStyle w:val="70"/>
              <w:numPr>
                <w:ilvl w:val="0"/>
                <w:numId w:val="21"/>
              </w:numPr>
              <w:adjustRightInd w:val="0"/>
              <w:snapToGrid w:val="0"/>
              <w:spacing w:line="240" w:lineRule="auto"/>
              <w:ind w:left="0" w:firstLine="0" w:firstLineChars="0"/>
              <w:jc w:val="center"/>
              <w:rPr>
                <w:sz w:val="20"/>
              </w:rPr>
            </w:pPr>
          </w:p>
        </w:tc>
        <w:tc>
          <w:tcPr>
            <w:tcW w:w="427" w:type="pct"/>
            <w:vAlign w:val="center"/>
          </w:tcPr>
          <w:p w14:paraId="2BB362F2">
            <w:pPr>
              <w:adjustRightInd w:val="0"/>
              <w:snapToGrid w:val="0"/>
              <w:jc w:val="left"/>
              <w:rPr>
                <w:rFonts w:ascii="宋体" w:hAnsi="宋体"/>
                <w:sz w:val="20"/>
              </w:rPr>
            </w:pPr>
            <w:r>
              <w:rPr>
                <w:rFonts w:hint="eastAsia" w:ascii="宋体" w:hAnsi="宋体"/>
                <w:sz w:val="20"/>
              </w:rPr>
              <w:t>平台基础服务</w:t>
            </w:r>
          </w:p>
        </w:tc>
        <w:tc>
          <w:tcPr>
            <w:tcW w:w="4094" w:type="pct"/>
          </w:tcPr>
          <w:p w14:paraId="02BE3967">
            <w:pPr>
              <w:pStyle w:val="70"/>
              <w:numPr>
                <w:ilvl w:val="0"/>
                <w:numId w:val="23"/>
              </w:numPr>
              <w:adjustRightInd w:val="0"/>
              <w:snapToGrid w:val="0"/>
              <w:ind w:left="0" w:firstLine="0" w:firstLineChars="0"/>
              <w:rPr>
                <w:szCs w:val="21"/>
              </w:rPr>
            </w:pPr>
            <w:r>
              <w:rPr>
                <w:szCs w:val="21"/>
              </w:rPr>
              <w:t>采用分布式微服务架构，通过独立分库的微服务构建云平台系统，服务之间高度自治。各服务支持独立部署和集中部署。</w:t>
            </w:r>
          </w:p>
          <w:p w14:paraId="757A8AC9">
            <w:pPr>
              <w:pStyle w:val="70"/>
              <w:numPr>
                <w:ilvl w:val="0"/>
                <w:numId w:val="23"/>
              </w:numPr>
              <w:adjustRightInd w:val="0"/>
              <w:snapToGrid w:val="0"/>
              <w:ind w:left="0" w:firstLine="0" w:firstLineChars="0"/>
              <w:rPr>
                <w:szCs w:val="21"/>
              </w:rPr>
            </w:pPr>
            <w:r>
              <w:rPr>
                <w:szCs w:val="21"/>
              </w:rPr>
              <w:t>支持S3协议的分布式存储</w:t>
            </w:r>
            <w:r>
              <w:rPr>
                <w:rFonts w:hint="eastAsia"/>
                <w:szCs w:val="21"/>
              </w:rPr>
              <w:t>；支持</w:t>
            </w:r>
            <w:r>
              <w:rPr>
                <w:szCs w:val="21"/>
              </w:rPr>
              <w:t>集群负载部署。</w:t>
            </w:r>
          </w:p>
          <w:p w14:paraId="1211BDE0">
            <w:pPr>
              <w:pStyle w:val="70"/>
              <w:numPr>
                <w:ilvl w:val="0"/>
                <w:numId w:val="23"/>
              </w:numPr>
              <w:adjustRightInd w:val="0"/>
              <w:snapToGrid w:val="0"/>
              <w:ind w:left="0" w:firstLine="0" w:firstLineChars="0"/>
              <w:rPr>
                <w:szCs w:val="21"/>
              </w:rPr>
            </w:pPr>
            <w:r>
              <w:rPr>
                <w:szCs w:val="21"/>
              </w:rPr>
              <w:t>支持网关服务，实现路由、服务聚合、认证、鉴权、限流、缓存、Header头传递、接口签名等功能配置。</w:t>
            </w:r>
          </w:p>
          <w:p w14:paraId="7E4C2807">
            <w:pPr>
              <w:pStyle w:val="70"/>
              <w:numPr>
                <w:ilvl w:val="0"/>
                <w:numId w:val="23"/>
              </w:numPr>
              <w:adjustRightInd w:val="0"/>
              <w:snapToGrid w:val="0"/>
              <w:ind w:left="0" w:firstLine="0" w:firstLineChars="0"/>
              <w:rPr>
                <w:szCs w:val="21"/>
              </w:rPr>
            </w:pPr>
            <w:r>
              <w:rPr>
                <w:szCs w:val="21"/>
              </w:rPr>
              <w:t>保证系统正常高效的使用，采用消息队列技术，支持事务消息、顺序消息、批量消息、定时消息、消息回溯等功能。</w:t>
            </w:r>
          </w:p>
          <w:p w14:paraId="48A8AA73">
            <w:pPr>
              <w:pStyle w:val="70"/>
              <w:numPr>
                <w:ilvl w:val="0"/>
                <w:numId w:val="23"/>
              </w:numPr>
              <w:adjustRightInd w:val="0"/>
              <w:snapToGrid w:val="0"/>
              <w:ind w:left="0" w:firstLine="0" w:firstLineChars="0"/>
              <w:rPr>
                <w:szCs w:val="21"/>
              </w:rPr>
            </w:pPr>
            <w:r>
              <w:rPr>
                <w:szCs w:val="21"/>
              </w:rPr>
              <w:t>支持主流数据库，并采用冷热分离以及搜索引擎技术提高系统的响应性能。</w:t>
            </w:r>
          </w:p>
          <w:p w14:paraId="6D23EB43">
            <w:pPr>
              <w:pStyle w:val="70"/>
              <w:numPr>
                <w:ilvl w:val="0"/>
                <w:numId w:val="23"/>
              </w:numPr>
              <w:adjustRightInd w:val="0"/>
              <w:snapToGrid w:val="0"/>
              <w:ind w:left="0" w:firstLine="0" w:firstLineChars="0"/>
              <w:rPr>
                <w:szCs w:val="21"/>
              </w:rPr>
            </w:pPr>
            <w:r>
              <w:rPr>
                <w:rFonts w:hint="eastAsia"/>
                <w:szCs w:val="21"/>
              </w:rPr>
              <w:t>系统支持C/S和B/S混合模式。</w:t>
            </w:r>
          </w:p>
          <w:p w14:paraId="06C9230B">
            <w:pPr>
              <w:pStyle w:val="70"/>
              <w:numPr>
                <w:ilvl w:val="0"/>
                <w:numId w:val="23"/>
              </w:numPr>
              <w:adjustRightInd w:val="0"/>
              <w:snapToGrid w:val="0"/>
              <w:ind w:left="0" w:firstLine="0" w:firstLineChars="0"/>
              <w:rPr>
                <w:szCs w:val="21"/>
              </w:rPr>
            </w:pPr>
            <w:r>
              <w:rPr>
                <w:rFonts w:hint="eastAsia"/>
                <w:szCs w:val="21"/>
              </w:rPr>
              <w:t>系统采用业务和管理分离的方式。在业务处理上，提供独立的医生工作站，供临床处理心电的检查、诊断、数据分析等业务；在管理上，提供独立的管理后台，实现对人员、设备等基础数据的统一管理，支持创建、修改、删除、查询各通行证功能。通过业务口和管理口从物理上分离,使业务数据和管理数据相互间不会产生干扰，提升系统稳定性和可靠性。</w:t>
            </w:r>
          </w:p>
          <w:p w14:paraId="42415AE4">
            <w:pPr>
              <w:pStyle w:val="70"/>
              <w:numPr>
                <w:ilvl w:val="0"/>
                <w:numId w:val="23"/>
              </w:numPr>
              <w:adjustRightInd w:val="0"/>
              <w:snapToGrid w:val="0"/>
              <w:ind w:left="0" w:firstLine="0" w:firstLineChars="0"/>
              <w:rPr>
                <w:szCs w:val="21"/>
              </w:rPr>
            </w:pPr>
            <w:r>
              <w:rPr>
                <w:rFonts w:hint="eastAsia"/>
                <w:szCs w:val="21"/>
              </w:rPr>
              <w:t>支持心电数据的采集、传输、诊断和数据归档的全流程跟踪管理，记录每一份心电报告的生成过程，为功能调试、问题排查、问题定位等提供技术支撑和可靠保障。</w:t>
            </w:r>
          </w:p>
          <w:p w14:paraId="6C48BD0E">
            <w:pPr>
              <w:pStyle w:val="70"/>
              <w:numPr>
                <w:ilvl w:val="0"/>
                <w:numId w:val="23"/>
              </w:numPr>
              <w:adjustRightInd w:val="0"/>
              <w:snapToGrid w:val="0"/>
              <w:ind w:left="0" w:firstLine="0" w:firstLineChars="0"/>
              <w:rPr>
                <w:szCs w:val="21"/>
              </w:rPr>
            </w:pPr>
            <w:r>
              <w:rPr>
                <w:rFonts w:hint="eastAsia"/>
                <w:szCs w:val="21"/>
              </w:rPr>
              <w:t>系统提供接口服务，支持对接第三方信息平台，支持采用视图、存储过程、Webservice、DICOM、HL7等方式实现接口功能。</w:t>
            </w:r>
          </w:p>
        </w:tc>
      </w:tr>
      <w:tr w14:paraId="7A48C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trPr>
        <w:tc>
          <w:tcPr>
            <w:tcW w:w="479" w:type="pct"/>
            <w:vAlign w:val="center"/>
          </w:tcPr>
          <w:p w14:paraId="713A3CE7">
            <w:pPr>
              <w:pStyle w:val="70"/>
              <w:numPr>
                <w:ilvl w:val="0"/>
                <w:numId w:val="21"/>
              </w:numPr>
              <w:adjustRightInd w:val="0"/>
              <w:snapToGrid w:val="0"/>
              <w:spacing w:line="240" w:lineRule="auto"/>
              <w:ind w:left="0" w:firstLine="0" w:firstLineChars="0"/>
              <w:jc w:val="center"/>
              <w:rPr>
                <w:sz w:val="20"/>
              </w:rPr>
            </w:pPr>
          </w:p>
        </w:tc>
        <w:tc>
          <w:tcPr>
            <w:tcW w:w="427" w:type="pct"/>
            <w:vAlign w:val="center"/>
          </w:tcPr>
          <w:p w14:paraId="3D66882F">
            <w:pPr>
              <w:adjustRightInd w:val="0"/>
              <w:snapToGrid w:val="0"/>
              <w:jc w:val="left"/>
              <w:rPr>
                <w:rFonts w:ascii="宋体" w:hAnsi="宋体" w:cs="宋体"/>
                <w:sz w:val="24"/>
                <w:szCs w:val="24"/>
              </w:rPr>
            </w:pPr>
            <w:r>
              <w:rPr>
                <w:rFonts w:hint="eastAsia" w:ascii="宋体" w:hAnsi="宋体"/>
                <w:sz w:val="24"/>
                <w:szCs w:val="24"/>
              </w:rPr>
              <w:t>心电检查管理</w:t>
            </w:r>
          </w:p>
        </w:tc>
        <w:tc>
          <w:tcPr>
            <w:tcW w:w="4094" w:type="pct"/>
          </w:tcPr>
          <w:p w14:paraId="5E22D389">
            <w:pPr>
              <w:pStyle w:val="70"/>
              <w:widowControl/>
              <w:numPr>
                <w:ilvl w:val="0"/>
                <w:numId w:val="24"/>
              </w:numPr>
              <w:adjustRightInd w:val="0"/>
              <w:snapToGrid w:val="0"/>
              <w:ind w:left="0" w:firstLine="0" w:firstLineChars="0"/>
              <w:rPr>
                <w:sz w:val="24"/>
                <w:szCs w:val="24"/>
              </w:rPr>
            </w:pPr>
            <w:r>
              <w:rPr>
                <w:rFonts w:hint="eastAsia"/>
                <w:sz w:val="24"/>
                <w:szCs w:val="24"/>
              </w:rPr>
              <w:t>充分利用现有设备，系统需支持连接医院现有不同品牌与型号的心电图设备完成受检者的心电检查。</w:t>
            </w:r>
          </w:p>
          <w:p w14:paraId="1D7D3B03">
            <w:pPr>
              <w:pStyle w:val="70"/>
              <w:widowControl/>
              <w:numPr>
                <w:ilvl w:val="0"/>
                <w:numId w:val="24"/>
              </w:numPr>
              <w:adjustRightInd w:val="0"/>
              <w:snapToGrid w:val="0"/>
              <w:ind w:left="0" w:firstLine="0" w:firstLineChars="0"/>
              <w:rPr>
                <w:sz w:val="24"/>
                <w:szCs w:val="24"/>
              </w:rPr>
            </w:pPr>
            <w:r>
              <w:rPr>
                <w:rFonts w:hint="eastAsia"/>
                <w:sz w:val="24"/>
                <w:szCs w:val="24"/>
              </w:rPr>
              <w:t xml:space="preserve">支持配置检查模式，可选常规十二导、常规十五导、常规十八导、心向量、心率变异、QT离散度、频谱心电、阿托品等。 </w:t>
            </w:r>
          </w:p>
          <w:p w14:paraId="38D20C64">
            <w:pPr>
              <w:pStyle w:val="70"/>
              <w:widowControl/>
              <w:numPr>
                <w:ilvl w:val="0"/>
                <w:numId w:val="24"/>
              </w:numPr>
              <w:adjustRightInd w:val="0"/>
              <w:snapToGrid w:val="0"/>
              <w:ind w:left="0" w:firstLine="0" w:firstLineChars="0"/>
              <w:rPr>
                <w:sz w:val="24"/>
                <w:szCs w:val="24"/>
              </w:rPr>
            </w:pPr>
            <w:r>
              <w:rPr>
                <w:rFonts w:hint="eastAsia"/>
                <w:sz w:val="24"/>
                <w:szCs w:val="24"/>
              </w:rPr>
              <w:t>支持手动创建、扫码、读卡、输入卡号、下载预约记录等多种方式获取受检者信息。</w:t>
            </w:r>
          </w:p>
          <w:p w14:paraId="73053A6F">
            <w:pPr>
              <w:pStyle w:val="70"/>
              <w:widowControl/>
              <w:numPr>
                <w:ilvl w:val="0"/>
                <w:numId w:val="24"/>
              </w:numPr>
              <w:adjustRightInd w:val="0"/>
              <w:snapToGrid w:val="0"/>
              <w:ind w:left="0" w:firstLine="0" w:firstLineChars="0"/>
              <w:rPr>
                <w:sz w:val="24"/>
                <w:szCs w:val="24"/>
              </w:rPr>
            </w:pPr>
            <w:r>
              <w:rPr>
                <w:rFonts w:hint="eastAsia"/>
                <w:sz w:val="24"/>
                <w:szCs w:val="24"/>
              </w:rPr>
              <w:t>支持离线状态下为受检者检查。</w:t>
            </w:r>
          </w:p>
          <w:p w14:paraId="4E2D11B6">
            <w:pPr>
              <w:pStyle w:val="70"/>
              <w:widowControl/>
              <w:numPr>
                <w:ilvl w:val="0"/>
                <w:numId w:val="24"/>
              </w:numPr>
              <w:adjustRightInd w:val="0"/>
              <w:snapToGrid w:val="0"/>
              <w:ind w:left="0" w:firstLine="0" w:firstLineChars="0"/>
              <w:rPr>
                <w:sz w:val="24"/>
                <w:szCs w:val="24"/>
              </w:rPr>
            </w:pPr>
            <w:r>
              <w:rPr>
                <w:rFonts w:hint="eastAsia"/>
                <w:sz w:val="24"/>
                <w:szCs w:val="24"/>
              </w:rPr>
              <w:t>支持采集质量检测，在心电检查过程中实时提醒采集质量是否合格，伪差、导联脱落、左右手接反等实时提醒。</w:t>
            </w:r>
          </w:p>
          <w:p w14:paraId="394E3E51">
            <w:pPr>
              <w:pStyle w:val="70"/>
              <w:widowControl/>
              <w:numPr>
                <w:ilvl w:val="0"/>
                <w:numId w:val="24"/>
              </w:numPr>
              <w:adjustRightInd w:val="0"/>
              <w:snapToGrid w:val="0"/>
              <w:ind w:left="0" w:firstLine="0" w:firstLineChars="0"/>
              <w:rPr>
                <w:sz w:val="24"/>
                <w:szCs w:val="24"/>
              </w:rPr>
            </w:pPr>
            <w:r>
              <w:rPr>
                <w:rFonts w:hint="eastAsia"/>
                <w:sz w:val="24"/>
                <w:szCs w:val="24"/>
              </w:rPr>
              <w:t>支持图谱采集完成后预览，支持加采、重采功能；支持为严重病人申请加急诊断，加急的报告列表有加急的状态标记。</w:t>
            </w:r>
          </w:p>
          <w:p w14:paraId="44D4F666">
            <w:pPr>
              <w:pStyle w:val="70"/>
              <w:widowControl/>
              <w:numPr>
                <w:ilvl w:val="0"/>
                <w:numId w:val="24"/>
              </w:numPr>
              <w:adjustRightInd w:val="0"/>
              <w:snapToGrid w:val="0"/>
              <w:ind w:left="0" w:firstLine="0" w:firstLineChars="0"/>
              <w:rPr>
                <w:sz w:val="24"/>
                <w:szCs w:val="24"/>
              </w:rPr>
            </w:pPr>
            <w:r>
              <w:rPr>
                <w:rFonts w:hint="eastAsia"/>
                <w:sz w:val="24"/>
                <w:szCs w:val="24"/>
              </w:rPr>
              <w:t>支持列表显示报告各阶段状态：待受理、已受理、已诊断，待审核、已审核，且支持查看报告是否打印。</w:t>
            </w:r>
          </w:p>
          <w:p w14:paraId="5E153990">
            <w:pPr>
              <w:pStyle w:val="70"/>
              <w:widowControl/>
              <w:numPr>
                <w:ilvl w:val="0"/>
                <w:numId w:val="24"/>
              </w:numPr>
              <w:adjustRightInd w:val="0"/>
              <w:snapToGrid w:val="0"/>
              <w:ind w:left="0" w:firstLine="0" w:firstLineChars="0"/>
              <w:rPr>
                <w:sz w:val="24"/>
                <w:szCs w:val="24"/>
              </w:rPr>
            </w:pPr>
            <w:r>
              <w:rPr>
                <w:rFonts w:hint="eastAsia"/>
                <w:sz w:val="24"/>
                <w:szCs w:val="24"/>
              </w:rPr>
              <w:t>采集完成后支持自动分析危急值，分析结果包括以下几种类型：危急、阳性、正常、采集不良、未分析。</w:t>
            </w:r>
          </w:p>
          <w:p w14:paraId="19F146A6">
            <w:pPr>
              <w:pStyle w:val="70"/>
              <w:widowControl/>
              <w:numPr>
                <w:ilvl w:val="0"/>
                <w:numId w:val="24"/>
              </w:numPr>
              <w:adjustRightInd w:val="0"/>
              <w:snapToGrid w:val="0"/>
              <w:ind w:left="0" w:firstLine="0" w:firstLineChars="0"/>
              <w:rPr>
                <w:sz w:val="24"/>
                <w:szCs w:val="24"/>
              </w:rPr>
            </w:pPr>
            <w:r>
              <w:rPr>
                <w:rFonts w:hint="eastAsia"/>
                <w:sz w:val="24"/>
                <w:szCs w:val="24"/>
              </w:rPr>
              <w:t>支持为严重病人申请加急诊断，加急的报告列表有加急的状态标记。</w:t>
            </w:r>
          </w:p>
        </w:tc>
      </w:tr>
      <w:tr w14:paraId="7B582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trPr>
        <w:tc>
          <w:tcPr>
            <w:tcW w:w="479" w:type="pct"/>
            <w:vAlign w:val="center"/>
          </w:tcPr>
          <w:p w14:paraId="72F56FB8">
            <w:pPr>
              <w:pStyle w:val="70"/>
              <w:numPr>
                <w:ilvl w:val="0"/>
                <w:numId w:val="21"/>
              </w:numPr>
              <w:adjustRightInd w:val="0"/>
              <w:snapToGrid w:val="0"/>
              <w:spacing w:line="240" w:lineRule="auto"/>
              <w:ind w:left="0" w:firstLine="0" w:firstLineChars="0"/>
              <w:jc w:val="center"/>
              <w:rPr>
                <w:sz w:val="24"/>
                <w:szCs w:val="24"/>
              </w:rPr>
            </w:pPr>
          </w:p>
        </w:tc>
        <w:tc>
          <w:tcPr>
            <w:tcW w:w="427" w:type="pct"/>
            <w:vAlign w:val="center"/>
          </w:tcPr>
          <w:p w14:paraId="5EA03A26">
            <w:pPr>
              <w:adjustRightInd w:val="0"/>
              <w:snapToGrid w:val="0"/>
              <w:jc w:val="left"/>
              <w:rPr>
                <w:rFonts w:ascii="宋体" w:hAnsi="宋体" w:cs="宋体"/>
                <w:sz w:val="24"/>
                <w:szCs w:val="24"/>
              </w:rPr>
            </w:pPr>
            <w:r>
              <w:rPr>
                <w:rFonts w:hint="eastAsia" w:ascii="宋体" w:hAnsi="宋体"/>
                <w:sz w:val="24"/>
                <w:szCs w:val="24"/>
              </w:rPr>
              <w:t>心电医生工作站</w:t>
            </w:r>
          </w:p>
        </w:tc>
        <w:tc>
          <w:tcPr>
            <w:tcW w:w="4094" w:type="pct"/>
          </w:tcPr>
          <w:p w14:paraId="49C910A9">
            <w:pPr>
              <w:pStyle w:val="70"/>
              <w:widowControl/>
              <w:numPr>
                <w:ilvl w:val="0"/>
                <w:numId w:val="25"/>
              </w:numPr>
              <w:adjustRightInd w:val="0"/>
              <w:snapToGrid w:val="0"/>
              <w:ind w:left="0" w:firstLine="0" w:firstLineChars="0"/>
              <w:rPr>
                <w:sz w:val="24"/>
                <w:szCs w:val="24"/>
              </w:rPr>
            </w:pPr>
            <w:r>
              <w:rPr>
                <w:rFonts w:hint="eastAsia"/>
                <w:sz w:val="24"/>
                <w:szCs w:val="24"/>
              </w:rPr>
              <w:tab/>
            </w:r>
            <w:r>
              <w:rPr>
                <w:rFonts w:hint="eastAsia"/>
                <w:sz w:val="24"/>
                <w:szCs w:val="24"/>
              </w:rPr>
              <w:t>为满足医院业务发展需要，医生工作站须提供静息心电、动态心电、动态血压综合分析功能：一套软件即可以进行静息心电、动态心电、动态血压三种检查的分析会诊工作，支持具有对应检查特点的专业分析工具。</w:t>
            </w:r>
          </w:p>
          <w:p w14:paraId="664EC9E5">
            <w:pPr>
              <w:pStyle w:val="70"/>
              <w:widowControl/>
              <w:numPr>
                <w:ilvl w:val="0"/>
                <w:numId w:val="25"/>
              </w:numPr>
              <w:adjustRightInd w:val="0"/>
              <w:snapToGrid w:val="0"/>
              <w:ind w:left="0" w:firstLine="0" w:firstLineChars="0"/>
              <w:rPr>
                <w:sz w:val="24"/>
                <w:szCs w:val="24"/>
              </w:rPr>
            </w:pPr>
            <w:r>
              <w:rPr>
                <w:rFonts w:hint="eastAsia"/>
                <w:sz w:val="24"/>
                <w:szCs w:val="24"/>
              </w:rPr>
              <w:t>报告列表支持显示字段自定义配置及字段显示顺序自定义配置；若报告为加急报告，支持显示加急状态图标；支持列表显示报告危急值等级标识；支持已完成诊断的报告显示是否已打印标识。</w:t>
            </w:r>
          </w:p>
          <w:p w14:paraId="2DC9791B">
            <w:pPr>
              <w:pStyle w:val="70"/>
              <w:widowControl/>
              <w:numPr>
                <w:ilvl w:val="0"/>
                <w:numId w:val="25"/>
              </w:numPr>
              <w:adjustRightInd w:val="0"/>
              <w:snapToGrid w:val="0"/>
              <w:ind w:left="0" w:firstLine="0" w:firstLineChars="0"/>
              <w:rPr>
                <w:sz w:val="24"/>
                <w:szCs w:val="24"/>
              </w:rPr>
            </w:pPr>
            <w:bookmarkStart w:id="335" w:name="_Hlk99014806"/>
            <w:r>
              <w:rPr>
                <w:rFonts w:hint="eastAsia"/>
                <w:sz w:val="24"/>
                <w:szCs w:val="24"/>
              </w:rPr>
              <w:t>支持通过多种方式查询报告；可支持根据报告完成状态待处理、处理中和已处理查看报告，并且直观看出待处理和处理中的报告数量。对于待处理的报告，支持通过分组、检查机构、检查科室、受检者来源、检查时间、受检者标识、受检者姓名快速检索。对于已处理的报告，支持通过检查机构、检查科室、受检者来源、检查时间、审核医生、受检者标识、受检者姓名、诊断结论快速检索。支持根据姓名、标识、诊断结论模糊检索。</w:t>
            </w:r>
          </w:p>
          <w:p w14:paraId="04C35D56">
            <w:pPr>
              <w:pStyle w:val="70"/>
              <w:widowControl/>
              <w:numPr>
                <w:ilvl w:val="0"/>
                <w:numId w:val="25"/>
              </w:numPr>
              <w:adjustRightInd w:val="0"/>
              <w:snapToGrid w:val="0"/>
              <w:ind w:left="0" w:firstLine="0" w:firstLineChars="0"/>
              <w:rPr>
                <w:sz w:val="24"/>
                <w:szCs w:val="24"/>
              </w:rPr>
            </w:pPr>
            <w:r>
              <w:rPr>
                <w:rFonts w:hint="eastAsia"/>
                <w:sz w:val="24"/>
                <w:szCs w:val="24"/>
              </w:rPr>
              <w:t>支持设置分组条件，将心电报告分配给不同的诊断医生。诊断医生只能查看自己所在分组和未分组的报告，其他分组报告查看不了，实现诊断组工作量的动态平衡，亦可实现数据隔离，提高医生的工作效率。</w:t>
            </w:r>
          </w:p>
          <w:p w14:paraId="1CB0F5B2">
            <w:pPr>
              <w:pStyle w:val="70"/>
              <w:widowControl/>
              <w:numPr>
                <w:ilvl w:val="0"/>
                <w:numId w:val="25"/>
              </w:numPr>
              <w:adjustRightInd w:val="0"/>
              <w:snapToGrid w:val="0"/>
              <w:ind w:left="0" w:firstLine="0" w:firstLineChars="0"/>
              <w:rPr>
                <w:sz w:val="24"/>
                <w:szCs w:val="24"/>
              </w:rPr>
            </w:pPr>
            <w:r>
              <w:rPr>
                <w:rFonts w:hint="eastAsia"/>
                <w:sz w:val="24"/>
                <w:szCs w:val="24"/>
              </w:rPr>
              <w:t>支持诊断权限配置。对简单报告可直接提交诊断，遇到疑难报告可申请机构内部老师审核。支持修改自己的诊断结论。支持报告复审功能，审核医生审核所有诊断医生报告。</w:t>
            </w:r>
          </w:p>
          <w:p w14:paraId="0A953E7A">
            <w:pPr>
              <w:pStyle w:val="70"/>
              <w:widowControl/>
              <w:numPr>
                <w:ilvl w:val="0"/>
                <w:numId w:val="25"/>
              </w:numPr>
              <w:adjustRightInd w:val="0"/>
              <w:snapToGrid w:val="0"/>
              <w:ind w:left="0" w:firstLine="0" w:firstLineChars="0"/>
              <w:rPr>
                <w:sz w:val="24"/>
                <w:szCs w:val="24"/>
              </w:rPr>
            </w:pPr>
            <w:r>
              <w:rPr>
                <w:rFonts w:hint="eastAsia"/>
                <w:sz w:val="24"/>
                <w:szCs w:val="24"/>
              </w:rPr>
              <w:t>系统支持设置强制审核模式，一份报告诊断完成之后设置为强制审核模式，必须要双签之后才能发布，例如可设置规培生提交诊断的报告必须代教老师审核之后才能发布。以满足医院多业务形态的需要。</w:t>
            </w:r>
          </w:p>
          <w:p w14:paraId="7C596F25">
            <w:pPr>
              <w:pStyle w:val="70"/>
              <w:widowControl/>
              <w:numPr>
                <w:ilvl w:val="0"/>
                <w:numId w:val="25"/>
              </w:numPr>
              <w:adjustRightInd w:val="0"/>
              <w:snapToGrid w:val="0"/>
              <w:ind w:left="0" w:firstLine="0" w:firstLineChars="0"/>
              <w:rPr>
                <w:sz w:val="24"/>
                <w:szCs w:val="24"/>
              </w:rPr>
            </w:pPr>
            <w:r>
              <w:rPr>
                <w:rFonts w:hint="eastAsia"/>
                <w:sz w:val="24"/>
                <w:szCs w:val="24"/>
              </w:rPr>
              <w:t>为提高医生工作效率，系统支持沉浸式看报告模式，可同屏显示报告列表和看图界面。可直接在看图页中查看列表数据，无需在列表页和详情页中来回切换。</w:t>
            </w:r>
          </w:p>
          <w:p w14:paraId="0B794E1A">
            <w:pPr>
              <w:pStyle w:val="70"/>
              <w:widowControl/>
              <w:numPr>
                <w:ilvl w:val="0"/>
                <w:numId w:val="25"/>
              </w:numPr>
              <w:adjustRightInd w:val="0"/>
              <w:snapToGrid w:val="0"/>
              <w:ind w:left="0" w:firstLine="0" w:firstLineChars="0"/>
              <w:rPr>
                <w:sz w:val="24"/>
                <w:szCs w:val="24"/>
              </w:rPr>
            </w:pPr>
            <w:r>
              <w:rPr>
                <w:rFonts w:hint="eastAsia"/>
                <w:sz w:val="24"/>
                <w:szCs w:val="24"/>
              </w:rPr>
              <w:t>系统支持进入快速诊断模式，诊断完成一份报告直接打开下一份报告，不需要返回列表选择报告。</w:t>
            </w:r>
          </w:p>
          <w:bookmarkEnd w:id="335"/>
          <w:p w14:paraId="6E0E4A20">
            <w:pPr>
              <w:pStyle w:val="70"/>
              <w:widowControl/>
              <w:numPr>
                <w:ilvl w:val="0"/>
                <w:numId w:val="25"/>
              </w:numPr>
              <w:adjustRightInd w:val="0"/>
              <w:snapToGrid w:val="0"/>
              <w:ind w:left="0" w:firstLine="0" w:firstLineChars="0"/>
              <w:rPr>
                <w:sz w:val="24"/>
                <w:szCs w:val="24"/>
              </w:rPr>
            </w:pPr>
            <w:r>
              <w:rPr>
                <w:rFonts w:hint="eastAsia"/>
                <w:sz w:val="24"/>
                <w:szCs w:val="24"/>
              </w:rPr>
              <w:t>支持支持全屏查看图谱；支持导联布局、走速、增益、滤波调整等操作；支持心搏放大功能，通过心搏放大查看某个心搏，调整波形形态识别后重新发送测值。</w:t>
            </w:r>
          </w:p>
          <w:p w14:paraId="3D5E5B0B">
            <w:pPr>
              <w:pStyle w:val="70"/>
              <w:widowControl/>
              <w:numPr>
                <w:ilvl w:val="0"/>
                <w:numId w:val="25"/>
              </w:numPr>
              <w:adjustRightInd w:val="0"/>
              <w:snapToGrid w:val="0"/>
              <w:ind w:left="0" w:firstLine="0" w:firstLineChars="0"/>
              <w:rPr>
                <w:sz w:val="24"/>
                <w:szCs w:val="24"/>
              </w:rPr>
            </w:pPr>
            <w:r>
              <w:rPr>
                <w:rFonts w:hint="eastAsia"/>
                <w:sz w:val="24"/>
                <w:szCs w:val="24"/>
              </w:rPr>
              <w:t>系统具备并行分规功能。通过并行分规可以快速定位心拍与心拍直接的关系。</w:t>
            </w:r>
          </w:p>
          <w:p w14:paraId="63444B02">
            <w:pPr>
              <w:pStyle w:val="70"/>
              <w:widowControl/>
              <w:numPr>
                <w:ilvl w:val="0"/>
                <w:numId w:val="25"/>
              </w:numPr>
              <w:adjustRightInd w:val="0"/>
              <w:snapToGrid w:val="0"/>
              <w:ind w:left="0" w:firstLine="0" w:firstLineChars="0"/>
              <w:rPr>
                <w:sz w:val="24"/>
                <w:szCs w:val="24"/>
              </w:rPr>
            </w:pPr>
            <w:r>
              <w:rPr>
                <w:rFonts w:hint="eastAsia"/>
                <w:sz w:val="24"/>
                <w:szCs w:val="24"/>
              </w:rPr>
              <w:t>支持诊断医生对不符合要求的图谱进行退回、加采、重采等操作；支持退回加采/重采报告加注原因。</w:t>
            </w:r>
          </w:p>
          <w:p w14:paraId="3AD9954B">
            <w:pPr>
              <w:pStyle w:val="70"/>
              <w:widowControl/>
              <w:numPr>
                <w:ilvl w:val="0"/>
                <w:numId w:val="25"/>
              </w:numPr>
              <w:adjustRightInd w:val="0"/>
              <w:snapToGrid w:val="0"/>
              <w:ind w:left="0" w:firstLine="0" w:firstLineChars="0"/>
              <w:rPr>
                <w:sz w:val="24"/>
                <w:szCs w:val="24"/>
              </w:rPr>
            </w:pPr>
            <w:bookmarkStart w:id="336" w:name="_Hlk99014821"/>
            <w:r>
              <w:rPr>
                <w:rFonts w:hint="eastAsia"/>
                <w:sz w:val="24"/>
                <w:szCs w:val="24"/>
              </w:rPr>
              <w:t>支持在心电图波形区域的异常位置做标记，提供图像注释说明记录。</w:t>
            </w:r>
          </w:p>
          <w:bookmarkEnd w:id="336"/>
          <w:p w14:paraId="5043BDBD">
            <w:pPr>
              <w:pStyle w:val="70"/>
              <w:widowControl/>
              <w:numPr>
                <w:ilvl w:val="0"/>
                <w:numId w:val="25"/>
              </w:numPr>
              <w:adjustRightInd w:val="0"/>
              <w:snapToGrid w:val="0"/>
              <w:ind w:left="0" w:firstLine="0" w:firstLineChars="0"/>
              <w:rPr>
                <w:sz w:val="24"/>
                <w:szCs w:val="24"/>
              </w:rPr>
            </w:pPr>
            <w:r>
              <w:rPr>
                <w:rFonts w:hint="eastAsia"/>
                <w:sz w:val="24"/>
                <w:szCs w:val="24"/>
              </w:rPr>
              <w:t>支持组合导联功能：使用十二导设备采集两份十二导数据合并为十八导数据，满足附加导联的检查要求。</w:t>
            </w:r>
          </w:p>
          <w:p w14:paraId="4D877E65">
            <w:pPr>
              <w:pStyle w:val="70"/>
              <w:widowControl/>
              <w:numPr>
                <w:ilvl w:val="0"/>
                <w:numId w:val="25"/>
              </w:numPr>
              <w:adjustRightInd w:val="0"/>
              <w:snapToGrid w:val="0"/>
              <w:ind w:left="0" w:firstLine="0" w:firstLineChars="0"/>
              <w:rPr>
                <w:sz w:val="24"/>
                <w:szCs w:val="24"/>
              </w:rPr>
            </w:pPr>
            <w:r>
              <w:rPr>
                <w:rFonts w:hint="eastAsia"/>
                <w:sz w:val="24"/>
                <w:szCs w:val="24"/>
              </w:rPr>
              <w:t>提供典型病例收藏功能，支持医生自定义收藏分类，为医生后期培训和进行科研提供素材。</w:t>
            </w:r>
          </w:p>
          <w:p w14:paraId="63715743">
            <w:pPr>
              <w:pStyle w:val="70"/>
              <w:widowControl/>
              <w:numPr>
                <w:ilvl w:val="0"/>
                <w:numId w:val="25"/>
              </w:numPr>
              <w:adjustRightInd w:val="0"/>
              <w:snapToGrid w:val="0"/>
              <w:ind w:left="0" w:firstLine="0" w:firstLineChars="0"/>
              <w:rPr>
                <w:sz w:val="24"/>
                <w:szCs w:val="24"/>
              </w:rPr>
            </w:pPr>
            <w:r>
              <w:rPr>
                <w:rFonts w:hint="eastAsia"/>
                <w:sz w:val="24"/>
                <w:szCs w:val="24"/>
              </w:rPr>
              <w:t>支持导联纠错功能，在肢体导联接反或胸导联接错的情况下，可以通过软件直接修正，无需重新采集。</w:t>
            </w:r>
          </w:p>
          <w:p w14:paraId="754ECEBC">
            <w:pPr>
              <w:pStyle w:val="70"/>
              <w:widowControl/>
              <w:numPr>
                <w:ilvl w:val="0"/>
                <w:numId w:val="25"/>
              </w:numPr>
              <w:adjustRightInd w:val="0"/>
              <w:snapToGrid w:val="0"/>
              <w:ind w:left="0" w:firstLine="0" w:firstLineChars="0"/>
              <w:rPr>
                <w:sz w:val="24"/>
                <w:szCs w:val="24"/>
              </w:rPr>
            </w:pPr>
            <w:r>
              <w:rPr>
                <w:rFonts w:hint="eastAsia"/>
                <w:sz w:val="24"/>
                <w:szCs w:val="24"/>
              </w:rPr>
              <w:t>支持漏诊提示，对心电图因显示分辨率问题导致的可能被疏忽的细节异常进行提示，防止造成漏诊。</w:t>
            </w:r>
          </w:p>
          <w:p w14:paraId="5B9AE77A">
            <w:pPr>
              <w:pStyle w:val="70"/>
              <w:widowControl/>
              <w:numPr>
                <w:ilvl w:val="0"/>
                <w:numId w:val="25"/>
              </w:numPr>
              <w:adjustRightInd w:val="0"/>
              <w:snapToGrid w:val="0"/>
              <w:ind w:left="0" w:firstLine="0" w:firstLineChars="0"/>
              <w:rPr>
                <w:sz w:val="24"/>
                <w:szCs w:val="24"/>
              </w:rPr>
            </w:pPr>
            <w:r>
              <w:rPr>
                <w:rFonts w:hint="eastAsia"/>
                <w:sz w:val="24"/>
                <w:szCs w:val="24"/>
              </w:rPr>
              <w:t>支持图谱对比功能。支持查看该受检者所有历史报告。支持将该受检者历史报告加入对比。支持根据卡号、性别、检查机构检索其他报告加入对比。支持将</w:t>
            </w:r>
            <w:r>
              <w:rPr>
                <w:sz w:val="24"/>
                <w:szCs w:val="24"/>
              </w:rPr>
              <w:t>5份</w:t>
            </w:r>
            <w:r>
              <w:rPr>
                <w:rFonts w:hint="eastAsia"/>
                <w:sz w:val="24"/>
                <w:szCs w:val="24"/>
              </w:rPr>
              <w:t>及</w:t>
            </w:r>
            <w:r>
              <w:rPr>
                <w:sz w:val="24"/>
                <w:szCs w:val="24"/>
              </w:rPr>
              <w:t>以上历史报告加入对比，可引用对比报告的诊断结论。</w:t>
            </w:r>
          </w:p>
          <w:p w14:paraId="36C324A8">
            <w:pPr>
              <w:pStyle w:val="70"/>
              <w:widowControl/>
              <w:numPr>
                <w:ilvl w:val="0"/>
                <w:numId w:val="25"/>
              </w:numPr>
              <w:adjustRightInd w:val="0"/>
              <w:snapToGrid w:val="0"/>
              <w:ind w:left="0" w:firstLine="0" w:firstLineChars="0"/>
              <w:rPr>
                <w:sz w:val="24"/>
                <w:szCs w:val="24"/>
              </w:rPr>
            </w:pPr>
            <w:r>
              <w:rPr>
                <w:rFonts w:hint="eastAsia"/>
                <w:sz w:val="24"/>
                <w:szCs w:val="24"/>
              </w:rPr>
              <w:t>支持叠加波分析，可对所有导联心搏进行叠加趋势分析。</w:t>
            </w:r>
          </w:p>
          <w:p w14:paraId="0B32E415">
            <w:pPr>
              <w:pStyle w:val="70"/>
              <w:widowControl/>
              <w:numPr>
                <w:ilvl w:val="0"/>
                <w:numId w:val="25"/>
              </w:numPr>
              <w:adjustRightInd w:val="0"/>
              <w:snapToGrid w:val="0"/>
              <w:ind w:left="0" w:firstLine="0" w:firstLineChars="0"/>
              <w:rPr>
                <w:sz w:val="24"/>
                <w:szCs w:val="24"/>
              </w:rPr>
            </w:pPr>
            <w:bookmarkStart w:id="337" w:name="_Hlk99014828"/>
            <w:r>
              <w:rPr>
                <w:rFonts w:hint="eastAsia"/>
                <w:sz w:val="24"/>
                <w:szCs w:val="24"/>
              </w:rPr>
              <w:t xml:space="preserve">支持胸痛加急功能，诊断界面有胸痛加急按钮，点击之后有胸痛加急的提示弹窗并可将检查完成消息推送到手机微信端。 </w:t>
            </w:r>
          </w:p>
          <w:bookmarkEnd w:id="337"/>
          <w:p w14:paraId="44971CD4">
            <w:pPr>
              <w:pStyle w:val="70"/>
              <w:widowControl/>
              <w:numPr>
                <w:ilvl w:val="0"/>
                <w:numId w:val="25"/>
              </w:numPr>
              <w:adjustRightInd w:val="0"/>
              <w:snapToGrid w:val="0"/>
              <w:ind w:left="0" w:firstLine="0" w:firstLineChars="0"/>
              <w:rPr>
                <w:sz w:val="24"/>
                <w:szCs w:val="24"/>
              </w:rPr>
            </w:pPr>
            <w:r>
              <w:rPr>
                <w:rFonts w:hint="eastAsia"/>
                <w:sz w:val="24"/>
                <w:szCs w:val="24"/>
              </w:rPr>
              <w:t>提供标准的心电图诊断词条，辅助医生快速进行报告编辑，在编辑过程中支持词条模糊查询及词条与测值的联动。</w:t>
            </w:r>
          </w:p>
          <w:p w14:paraId="625F9467">
            <w:pPr>
              <w:pStyle w:val="70"/>
              <w:widowControl/>
              <w:numPr>
                <w:ilvl w:val="0"/>
                <w:numId w:val="25"/>
              </w:numPr>
              <w:adjustRightInd w:val="0"/>
              <w:snapToGrid w:val="0"/>
              <w:ind w:left="0" w:firstLine="0" w:firstLineChars="0"/>
              <w:rPr>
                <w:sz w:val="24"/>
                <w:szCs w:val="24"/>
              </w:rPr>
            </w:pPr>
            <w:r>
              <w:rPr>
                <w:rFonts w:hint="eastAsia"/>
                <w:sz w:val="24"/>
                <w:szCs w:val="24"/>
              </w:rPr>
              <w:t>支持梯形图生成技术。</w:t>
            </w:r>
          </w:p>
          <w:p w14:paraId="3C0E85EF">
            <w:pPr>
              <w:pStyle w:val="70"/>
              <w:widowControl/>
              <w:numPr>
                <w:ilvl w:val="0"/>
                <w:numId w:val="25"/>
              </w:numPr>
              <w:adjustRightInd w:val="0"/>
              <w:snapToGrid w:val="0"/>
              <w:ind w:left="0" w:firstLine="0" w:firstLineChars="0"/>
              <w:rPr>
                <w:sz w:val="24"/>
                <w:szCs w:val="24"/>
              </w:rPr>
            </w:pPr>
            <w:r>
              <w:rPr>
                <w:rFonts w:hint="eastAsia"/>
                <w:sz w:val="24"/>
                <w:szCs w:val="24"/>
              </w:rPr>
              <w:t>支持批量打印已诊断完成的报告。支持多项目诊断及打印，包括常规十二导、十五导、十八导、心向量、心率变异、QT离散度、频谱心电、心室晚电位、高频心电、心率震荡、心电事件、阿托品等。</w:t>
            </w:r>
          </w:p>
          <w:p w14:paraId="695B2153">
            <w:pPr>
              <w:pStyle w:val="70"/>
              <w:widowControl/>
              <w:numPr>
                <w:ilvl w:val="0"/>
                <w:numId w:val="25"/>
              </w:numPr>
              <w:adjustRightInd w:val="0"/>
              <w:snapToGrid w:val="0"/>
              <w:ind w:left="0" w:firstLine="0" w:firstLineChars="0"/>
              <w:rPr>
                <w:sz w:val="24"/>
                <w:szCs w:val="24"/>
              </w:rPr>
            </w:pPr>
            <w:r>
              <w:rPr>
                <w:rFonts w:hint="eastAsia"/>
                <w:sz w:val="24"/>
                <w:szCs w:val="24"/>
              </w:rPr>
              <w:t>支持导出pdf、XML、图片格式的图谱。</w:t>
            </w:r>
          </w:p>
          <w:p w14:paraId="01719325">
            <w:pPr>
              <w:pStyle w:val="70"/>
              <w:widowControl/>
              <w:numPr>
                <w:ilvl w:val="0"/>
                <w:numId w:val="25"/>
              </w:numPr>
              <w:adjustRightInd w:val="0"/>
              <w:snapToGrid w:val="0"/>
              <w:ind w:left="0" w:firstLine="0" w:firstLineChars="0"/>
              <w:rPr>
                <w:sz w:val="24"/>
                <w:szCs w:val="24"/>
              </w:rPr>
            </w:pPr>
            <w:r>
              <w:rPr>
                <w:rFonts w:hint="eastAsia"/>
                <w:sz w:val="24"/>
                <w:szCs w:val="24"/>
              </w:rPr>
              <w:t>支持阿托品等药物试验功能，可显示药物试验条件下的数据、绘制心率变化曲线以及导联波形。</w:t>
            </w:r>
          </w:p>
          <w:p w14:paraId="59FF1DD3">
            <w:pPr>
              <w:pStyle w:val="70"/>
              <w:widowControl/>
              <w:numPr>
                <w:ilvl w:val="0"/>
                <w:numId w:val="25"/>
              </w:numPr>
              <w:adjustRightInd w:val="0"/>
              <w:snapToGrid w:val="0"/>
              <w:ind w:left="0" w:firstLine="0" w:firstLineChars="0"/>
              <w:rPr>
                <w:sz w:val="24"/>
                <w:szCs w:val="24"/>
              </w:rPr>
            </w:pPr>
            <w:r>
              <w:rPr>
                <w:rFonts w:hint="eastAsia"/>
                <w:sz w:val="24"/>
                <w:szCs w:val="24"/>
              </w:rPr>
              <w:t>支持心电自动诊断技术，对心电报告进行自动化分析和诊断，辅助诊断医生进行报告诊断，提高诊断效率和质量。</w:t>
            </w:r>
          </w:p>
          <w:p w14:paraId="09A2F929">
            <w:pPr>
              <w:pStyle w:val="70"/>
              <w:widowControl/>
              <w:numPr>
                <w:ilvl w:val="0"/>
                <w:numId w:val="25"/>
              </w:numPr>
              <w:adjustRightInd w:val="0"/>
              <w:snapToGrid w:val="0"/>
              <w:ind w:left="0" w:firstLine="0" w:firstLineChars="0"/>
              <w:rPr>
                <w:sz w:val="24"/>
                <w:szCs w:val="24"/>
              </w:rPr>
            </w:pPr>
            <w:r>
              <w:rPr>
                <w:rFonts w:hint="eastAsia"/>
                <w:sz w:val="24"/>
                <w:szCs w:val="24"/>
              </w:rPr>
              <w:t>客户端、</w:t>
            </w:r>
            <w:r>
              <w:rPr>
                <w:sz w:val="24"/>
                <w:szCs w:val="24"/>
              </w:rPr>
              <w:t>Web端、移动端支持自动诊断分析结论，可手动选择是否引用自动诊断结论。</w:t>
            </w:r>
          </w:p>
          <w:p w14:paraId="4B0B2E21">
            <w:pPr>
              <w:pStyle w:val="70"/>
              <w:widowControl/>
              <w:numPr>
                <w:ilvl w:val="0"/>
                <w:numId w:val="25"/>
              </w:numPr>
              <w:adjustRightInd w:val="0"/>
              <w:snapToGrid w:val="0"/>
              <w:ind w:left="0" w:firstLine="0" w:firstLineChars="0"/>
              <w:rPr>
                <w:sz w:val="24"/>
                <w:szCs w:val="24"/>
              </w:rPr>
            </w:pPr>
            <w:bookmarkStart w:id="338" w:name="_Hlk99014836"/>
            <w:r>
              <w:rPr>
                <w:rFonts w:hint="eastAsia"/>
                <w:sz w:val="24"/>
                <w:szCs w:val="24"/>
              </w:rPr>
              <w:t>支持在诊断界面将心电图原始数据生成二维码，并通过手机端微信小程序进行扫码查看、诊断和分享，通过手机扫码方式实现内网到外网的数据传输，物理隔离保障网络安全。</w:t>
            </w:r>
          </w:p>
          <w:bookmarkEnd w:id="338"/>
          <w:p w14:paraId="56F86AD9">
            <w:pPr>
              <w:pStyle w:val="70"/>
              <w:widowControl/>
              <w:numPr>
                <w:ilvl w:val="0"/>
                <w:numId w:val="25"/>
              </w:numPr>
              <w:adjustRightInd w:val="0"/>
              <w:snapToGrid w:val="0"/>
              <w:ind w:left="0" w:firstLine="0" w:firstLineChars="0"/>
              <w:rPr>
                <w:sz w:val="24"/>
                <w:szCs w:val="24"/>
              </w:rPr>
            </w:pPr>
            <w:r>
              <w:rPr>
                <w:rFonts w:hint="eastAsia"/>
                <w:sz w:val="24"/>
                <w:szCs w:val="24"/>
              </w:rPr>
              <w:t>为保护受检者信息安全，报告分享支持脱敏显示。</w:t>
            </w:r>
          </w:p>
          <w:p w14:paraId="67E59202">
            <w:pPr>
              <w:pStyle w:val="70"/>
              <w:widowControl/>
              <w:numPr>
                <w:ilvl w:val="0"/>
                <w:numId w:val="25"/>
              </w:numPr>
              <w:adjustRightInd w:val="0"/>
              <w:snapToGrid w:val="0"/>
              <w:ind w:left="0" w:firstLine="0" w:firstLineChars="0"/>
              <w:rPr>
                <w:sz w:val="24"/>
                <w:szCs w:val="24"/>
              </w:rPr>
            </w:pPr>
            <w:r>
              <w:rPr>
                <w:rFonts w:hint="eastAsia"/>
                <w:sz w:val="24"/>
                <w:szCs w:val="24"/>
              </w:rPr>
              <w:t>支持修改系统名称及系统logo，实现个性化订制。</w:t>
            </w:r>
          </w:p>
        </w:tc>
      </w:tr>
      <w:tr w14:paraId="0706A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trPr>
        <w:tc>
          <w:tcPr>
            <w:tcW w:w="479" w:type="pct"/>
            <w:vAlign w:val="center"/>
          </w:tcPr>
          <w:p w14:paraId="1963677E">
            <w:pPr>
              <w:pStyle w:val="70"/>
              <w:numPr>
                <w:ilvl w:val="0"/>
                <w:numId w:val="21"/>
              </w:numPr>
              <w:adjustRightInd w:val="0"/>
              <w:snapToGrid w:val="0"/>
              <w:spacing w:line="240" w:lineRule="auto"/>
              <w:ind w:left="0" w:firstLine="0" w:firstLineChars="0"/>
              <w:jc w:val="center"/>
              <w:rPr>
                <w:sz w:val="24"/>
                <w:szCs w:val="24"/>
              </w:rPr>
            </w:pPr>
          </w:p>
        </w:tc>
        <w:tc>
          <w:tcPr>
            <w:tcW w:w="427" w:type="pct"/>
            <w:vAlign w:val="center"/>
          </w:tcPr>
          <w:p w14:paraId="7D68DD03">
            <w:pPr>
              <w:pStyle w:val="70"/>
              <w:widowControl/>
              <w:adjustRightInd w:val="0"/>
              <w:snapToGrid w:val="0"/>
              <w:ind w:firstLine="0" w:firstLineChars="0"/>
              <w:rPr>
                <w:sz w:val="24"/>
                <w:szCs w:val="24"/>
              </w:rPr>
            </w:pPr>
            <w:r>
              <w:rPr>
                <w:rFonts w:hint="eastAsia"/>
                <w:sz w:val="24"/>
                <w:szCs w:val="24"/>
              </w:rPr>
              <w:t>移动会诊</w:t>
            </w:r>
          </w:p>
        </w:tc>
        <w:tc>
          <w:tcPr>
            <w:tcW w:w="4094" w:type="pct"/>
          </w:tcPr>
          <w:p w14:paraId="59665A1D">
            <w:pPr>
              <w:pStyle w:val="70"/>
              <w:widowControl/>
              <w:numPr>
                <w:ilvl w:val="0"/>
                <w:numId w:val="26"/>
              </w:numPr>
              <w:adjustRightInd w:val="0"/>
              <w:snapToGrid w:val="0"/>
              <w:ind w:left="0" w:firstLine="0" w:firstLineChars="0"/>
              <w:rPr>
                <w:sz w:val="24"/>
                <w:szCs w:val="24"/>
              </w:rPr>
            </w:pPr>
            <w:r>
              <w:rPr>
                <w:rFonts w:hint="eastAsia"/>
                <w:sz w:val="24"/>
                <w:szCs w:val="24"/>
              </w:rPr>
              <w:t>移动会诊支持手机端H5的方式实现原始心电图数据的查看，支持Android和iOS系统等各种品牌终端，满足出差、居家等不同场景下的远程会诊需求。</w:t>
            </w:r>
          </w:p>
          <w:p w14:paraId="6F722306">
            <w:pPr>
              <w:pStyle w:val="70"/>
              <w:widowControl/>
              <w:numPr>
                <w:ilvl w:val="0"/>
                <w:numId w:val="26"/>
              </w:numPr>
              <w:adjustRightInd w:val="0"/>
              <w:snapToGrid w:val="0"/>
              <w:ind w:left="0" w:firstLine="0" w:firstLineChars="0"/>
              <w:rPr>
                <w:sz w:val="24"/>
                <w:szCs w:val="24"/>
              </w:rPr>
            </w:pPr>
            <w:r>
              <w:rPr>
                <w:rFonts w:hint="eastAsia"/>
                <w:sz w:val="24"/>
                <w:szCs w:val="24"/>
              </w:rPr>
              <w:t>支持手机端报告任务列表刷新功能，可实时查看待处理报告的数量。支持报告编辑功能，提供标准的心电图诊断词条选择或者手动输入诊断词条，辅助医生快速的进行报告编辑。</w:t>
            </w:r>
          </w:p>
          <w:p w14:paraId="6C3D3F4B">
            <w:pPr>
              <w:pStyle w:val="70"/>
              <w:widowControl/>
              <w:numPr>
                <w:ilvl w:val="0"/>
                <w:numId w:val="26"/>
              </w:numPr>
              <w:adjustRightInd w:val="0"/>
              <w:snapToGrid w:val="0"/>
              <w:ind w:left="0" w:firstLine="0" w:firstLineChars="0"/>
              <w:rPr>
                <w:sz w:val="24"/>
                <w:szCs w:val="24"/>
              </w:rPr>
            </w:pPr>
            <w:r>
              <w:rPr>
                <w:rFonts w:hint="eastAsia"/>
                <w:sz w:val="24"/>
                <w:szCs w:val="24"/>
              </w:rPr>
              <w:t>支持手机端浏览器访问登录功能；支持记录最近一次登录用户。</w:t>
            </w:r>
          </w:p>
          <w:p w14:paraId="7F00B9B6">
            <w:pPr>
              <w:pStyle w:val="70"/>
              <w:widowControl/>
              <w:numPr>
                <w:ilvl w:val="0"/>
                <w:numId w:val="26"/>
              </w:numPr>
              <w:adjustRightInd w:val="0"/>
              <w:snapToGrid w:val="0"/>
              <w:ind w:left="0" w:firstLine="0" w:firstLineChars="0"/>
              <w:rPr>
                <w:sz w:val="24"/>
                <w:szCs w:val="24"/>
              </w:rPr>
            </w:pPr>
            <w:r>
              <w:rPr>
                <w:rFonts w:hint="eastAsia"/>
                <w:sz w:val="24"/>
                <w:szCs w:val="24"/>
              </w:rPr>
              <w:t>支持iPad端诊断，方便医生值班时使用。支持报告列表功能、支持多份心电图切换功能、支持报告编辑功能；支持通过扫描二维码的方式连接服务器地址，免去繁杂的网址输入过程，防止服务器地址外泄，提高系统安全性。</w:t>
            </w:r>
          </w:p>
          <w:p w14:paraId="597FFB4A">
            <w:pPr>
              <w:pStyle w:val="70"/>
              <w:widowControl/>
              <w:numPr>
                <w:ilvl w:val="0"/>
                <w:numId w:val="26"/>
              </w:numPr>
              <w:adjustRightInd w:val="0"/>
              <w:snapToGrid w:val="0"/>
              <w:ind w:left="0" w:firstLine="0" w:firstLineChars="0"/>
              <w:rPr>
                <w:sz w:val="24"/>
                <w:szCs w:val="24"/>
              </w:rPr>
            </w:pPr>
            <w:r>
              <w:rPr>
                <w:rFonts w:hint="eastAsia"/>
                <w:sz w:val="24"/>
                <w:szCs w:val="24"/>
              </w:rPr>
              <w:t>系统支持将心电数据通过网络分享到微信群或者专家的微信，寻求技术指导或典型数据分享。会诊专家可在微信端查看原始心电数据，支持走速、增益的调整，支持导联布局的切换，支持心电波形的滤波。</w:t>
            </w:r>
          </w:p>
        </w:tc>
      </w:tr>
      <w:tr w14:paraId="0BA3F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trPr>
        <w:tc>
          <w:tcPr>
            <w:tcW w:w="479" w:type="pct"/>
            <w:vAlign w:val="center"/>
          </w:tcPr>
          <w:p w14:paraId="6D559406">
            <w:pPr>
              <w:pStyle w:val="70"/>
              <w:numPr>
                <w:ilvl w:val="0"/>
                <w:numId w:val="21"/>
              </w:numPr>
              <w:adjustRightInd w:val="0"/>
              <w:snapToGrid w:val="0"/>
              <w:spacing w:line="240" w:lineRule="auto"/>
              <w:ind w:left="0" w:firstLine="0" w:firstLineChars="0"/>
              <w:jc w:val="center"/>
              <w:rPr>
                <w:sz w:val="24"/>
                <w:szCs w:val="24"/>
              </w:rPr>
            </w:pPr>
          </w:p>
        </w:tc>
        <w:tc>
          <w:tcPr>
            <w:tcW w:w="427" w:type="pct"/>
            <w:vAlign w:val="center"/>
          </w:tcPr>
          <w:p w14:paraId="0BCAD705">
            <w:pPr>
              <w:adjustRightInd w:val="0"/>
              <w:snapToGrid w:val="0"/>
              <w:jc w:val="left"/>
              <w:rPr>
                <w:rFonts w:ascii="宋体" w:hAnsi="宋体" w:cs="宋体"/>
                <w:sz w:val="24"/>
                <w:szCs w:val="24"/>
              </w:rPr>
            </w:pPr>
            <w:r>
              <w:rPr>
                <w:rFonts w:hint="eastAsia" w:ascii="宋体" w:hAnsi="宋体"/>
                <w:sz w:val="24"/>
                <w:szCs w:val="24"/>
              </w:rPr>
              <w:t>临床WEB端调阅</w:t>
            </w:r>
          </w:p>
        </w:tc>
        <w:tc>
          <w:tcPr>
            <w:tcW w:w="4094" w:type="pct"/>
          </w:tcPr>
          <w:p w14:paraId="6D7FF6C8">
            <w:pPr>
              <w:pStyle w:val="70"/>
              <w:widowControl/>
              <w:numPr>
                <w:ilvl w:val="0"/>
                <w:numId w:val="27"/>
              </w:numPr>
              <w:adjustRightInd w:val="0"/>
              <w:snapToGrid w:val="0"/>
              <w:ind w:firstLineChars="0"/>
              <w:rPr>
                <w:sz w:val="24"/>
                <w:szCs w:val="24"/>
              </w:rPr>
            </w:pPr>
            <w:r>
              <w:rPr>
                <w:rFonts w:hint="eastAsia"/>
                <w:sz w:val="24"/>
                <w:szCs w:val="24"/>
              </w:rPr>
              <w:t>支持在</w:t>
            </w:r>
            <w:r>
              <w:rPr>
                <w:sz w:val="24"/>
                <w:szCs w:val="24"/>
              </w:rPr>
              <w:t>Web端</w:t>
            </w:r>
            <w:r>
              <w:rPr>
                <w:rFonts w:hint="eastAsia"/>
                <w:sz w:val="24"/>
                <w:szCs w:val="24"/>
              </w:rPr>
              <w:t>查看、</w:t>
            </w:r>
            <w:r>
              <w:rPr>
                <w:sz w:val="24"/>
                <w:szCs w:val="24"/>
              </w:rPr>
              <w:t>诊断、发布</w:t>
            </w:r>
            <w:r>
              <w:rPr>
                <w:rFonts w:hint="eastAsia"/>
                <w:sz w:val="24"/>
                <w:szCs w:val="24"/>
              </w:rPr>
              <w:t>心电图报告。满足不同场景的业务需求。</w:t>
            </w:r>
          </w:p>
          <w:p w14:paraId="4A70CFC8">
            <w:pPr>
              <w:pStyle w:val="70"/>
              <w:widowControl/>
              <w:numPr>
                <w:ilvl w:val="0"/>
                <w:numId w:val="27"/>
              </w:numPr>
              <w:adjustRightInd w:val="0"/>
              <w:snapToGrid w:val="0"/>
              <w:ind w:left="0" w:firstLine="0" w:firstLineChars="0"/>
              <w:rPr>
                <w:sz w:val="24"/>
                <w:szCs w:val="24"/>
              </w:rPr>
            </w:pPr>
            <w:r>
              <w:rPr>
                <w:rFonts w:hint="eastAsia"/>
                <w:sz w:val="24"/>
                <w:szCs w:val="24"/>
              </w:rPr>
              <w:t>支持根据报告完成状态待诊断、已诊断查看报告，并且直观看出待诊断的报告数量。</w:t>
            </w:r>
          </w:p>
          <w:p w14:paraId="537389B5">
            <w:pPr>
              <w:pStyle w:val="70"/>
              <w:widowControl/>
              <w:numPr>
                <w:ilvl w:val="0"/>
                <w:numId w:val="27"/>
              </w:numPr>
              <w:adjustRightInd w:val="0"/>
              <w:snapToGrid w:val="0"/>
              <w:ind w:left="0" w:firstLine="0" w:firstLineChars="0"/>
              <w:rPr>
                <w:sz w:val="24"/>
                <w:szCs w:val="24"/>
              </w:rPr>
            </w:pPr>
            <w:r>
              <w:rPr>
                <w:rFonts w:hint="eastAsia"/>
                <w:sz w:val="24"/>
                <w:szCs w:val="24"/>
              </w:rPr>
              <w:t>支持通过检查科室、受检者来源、检查时间、受检者标识、受检者姓名快速检索报告。</w:t>
            </w:r>
          </w:p>
          <w:p w14:paraId="3627B169">
            <w:pPr>
              <w:pStyle w:val="70"/>
              <w:widowControl/>
              <w:numPr>
                <w:ilvl w:val="0"/>
                <w:numId w:val="27"/>
              </w:numPr>
              <w:adjustRightInd w:val="0"/>
              <w:snapToGrid w:val="0"/>
              <w:ind w:left="0" w:firstLine="0" w:firstLineChars="0"/>
              <w:rPr>
                <w:sz w:val="24"/>
                <w:szCs w:val="24"/>
              </w:rPr>
            </w:pPr>
            <w:r>
              <w:rPr>
                <w:rFonts w:hint="eastAsia"/>
                <w:sz w:val="24"/>
                <w:szCs w:val="24"/>
              </w:rPr>
              <w:t>支持产生新报告到达即时提醒功能。当检查端采集的病历发送过来时，web端自动弹出提示窗口并语音提醒，提示医生有新报告到达。</w:t>
            </w:r>
          </w:p>
          <w:p w14:paraId="790D5127">
            <w:pPr>
              <w:pStyle w:val="70"/>
              <w:widowControl/>
              <w:numPr>
                <w:ilvl w:val="0"/>
                <w:numId w:val="27"/>
              </w:numPr>
              <w:adjustRightInd w:val="0"/>
              <w:snapToGrid w:val="0"/>
              <w:ind w:left="0" w:firstLine="0" w:firstLineChars="0"/>
              <w:rPr>
                <w:sz w:val="24"/>
                <w:szCs w:val="24"/>
              </w:rPr>
            </w:pPr>
            <w:r>
              <w:rPr>
                <w:sz w:val="24"/>
                <w:szCs w:val="24"/>
              </w:rPr>
              <w:t>Web终端可查看原始数据，支持调整导联布局、增益、走速及；支持心电波形的滤波，包括肌电滤波、工频滤波、高频滤波；提供标准的心电图诊断</w:t>
            </w:r>
            <w:r>
              <w:rPr>
                <w:rFonts w:hint="eastAsia"/>
                <w:sz w:val="24"/>
                <w:szCs w:val="24"/>
              </w:rPr>
              <w:t>词条选择或者手动输入</w:t>
            </w:r>
            <w:r>
              <w:rPr>
                <w:sz w:val="24"/>
                <w:szCs w:val="24"/>
              </w:rPr>
              <w:t>；支持修改受检者部分信息；支持全院数据共享。</w:t>
            </w:r>
          </w:p>
        </w:tc>
      </w:tr>
      <w:tr w14:paraId="6A7A3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479" w:type="pct"/>
            <w:vAlign w:val="center"/>
          </w:tcPr>
          <w:p w14:paraId="261A5B42">
            <w:pPr>
              <w:pStyle w:val="70"/>
              <w:numPr>
                <w:ilvl w:val="0"/>
                <w:numId w:val="21"/>
              </w:numPr>
              <w:adjustRightInd w:val="0"/>
              <w:snapToGrid w:val="0"/>
              <w:spacing w:line="240" w:lineRule="auto"/>
              <w:ind w:left="0" w:firstLine="0" w:firstLineChars="0"/>
              <w:jc w:val="center"/>
              <w:rPr>
                <w:sz w:val="24"/>
                <w:szCs w:val="24"/>
              </w:rPr>
            </w:pPr>
          </w:p>
        </w:tc>
        <w:tc>
          <w:tcPr>
            <w:tcW w:w="427" w:type="pct"/>
            <w:vAlign w:val="center"/>
          </w:tcPr>
          <w:p w14:paraId="5AEF8940">
            <w:pPr>
              <w:pStyle w:val="70"/>
              <w:widowControl/>
              <w:numPr>
                <w:ilvl w:val="0"/>
                <w:numId w:val="27"/>
              </w:numPr>
              <w:adjustRightInd w:val="0"/>
              <w:snapToGrid w:val="0"/>
              <w:ind w:left="0" w:firstLine="0" w:firstLineChars="0"/>
              <w:rPr>
                <w:sz w:val="24"/>
                <w:szCs w:val="24"/>
              </w:rPr>
            </w:pPr>
            <w:r>
              <w:rPr>
                <w:rFonts w:hint="eastAsia"/>
                <w:sz w:val="24"/>
                <w:szCs w:val="24"/>
              </w:rPr>
              <w:t>心电AI智能分析</w:t>
            </w:r>
          </w:p>
        </w:tc>
        <w:tc>
          <w:tcPr>
            <w:tcW w:w="4094" w:type="pct"/>
          </w:tcPr>
          <w:p w14:paraId="4FF73BBE">
            <w:pPr>
              <w:pStyle w:val="70"/>
              <w:widowControl/>
              <w:numPr>
                <w:ilvl w:val="0"/>
                <w:numId w:val="28"/>
              </w:numPr>
              <w:adjustRightInd w:val="0"/>
              <w:snapToGrid w:val="0"/>
              <w:ind w:left="0" w:firstLine="0" w:firstLineChars="0"/>
              <w:rPr>
                <w:sz w:val="24"/>
                <w:szCs w:val="24"/>
              </w:rPr>
            </w:pPr>
            <w:r>
              <w:rPr>
                <w:sz w:val="24"/>
                <w:szCs w:val="24"/>
              </w:rPr>
              <w:t>通过</w:t>
            </w:r>
            <w:r>
              <w:rPr>
                <w:rFonts w:hint="eastAsia"/>
                <w:sz w:val="24"/>
                <w:szCs w:val="24"/>
              </w:rPr>
              <w:t>AI</w:t>
            </w:r>
            <w:r>
              <w:rPr>
                <w:sz w:val="24"/>
                <w:szCs w:val="24"/>
              </w:rPr>
              <w:t>智能分析技术与心电业务的深度融合，优化心电业务流程、提高心电诊断效率、提升心电业务服务质量和管理水平，将人工智能分析技术应用在心电图采集、诊断、监测、预警、质控等业务场景。</w:t>
            </w:r>
          </w:p>
          <w:p w14:paraId="423CB584">
            <w:pPr>
              <w:pStyle w:val="70"/>
              <w:widowControl/>
              <w:numPr>
                <w:ilvl w:val="0"/>
                <w:numId w:val="28"/>
              </w:numPr>
              <w:adjustRightInd w:val="0"/>
              <w:snapToGrid w:val="0"/>
              <w:ind w:left="0" w:firstLine="0" w:firstLineChars="0"/>
              <w:rPr>
                <w:sz w:val="24"/>
                <w:szCs w:val="24"/>
              </w:rPr>
            </w:pPr>
            <w:r>
              <w:rPr>
                <w:sz w:val="24"/>
                <w:szCs w:val="24"/>
              </w:rPr>
              <w:t>具备深度学习心电分析模块可不断自我迭代升级，支持成人心律失常、心肌梗塞、ST-T异常、房室肥大等四大类异常心电图的自动识别。</w:t>
            </w:r>
          </w:p>
          <w:p w14:paraId="3A1C8576">
            <w:pPr>
              <w:pStyle w:val="70"/>
              <w:widowControl/>
              <w:numPr>
                <w:ilvl w:val="0"/>
                <w:numId w:val="28"/>
              </w:numPr>
              <w:adjustRightInd w:val="0"/>
              <w:snapToGrid w:val="0"/>
              <w:ind w:left="0" w:firstLine="0" w:firstLineChars="0"/>
              <w:rPr>
                <w:sz w:val="24"/>
                <w:szCs w:val="24"/>
              </w:rPr>
            </w:pPr>
            <w:r>
              <w:rPr>
                <w:sz w:val="24"/>
                <w:szCs w:val="24"/>
              </w:rPr>
              <w:t>支持包括窦性心律、房性心律、室上性心动过速、心房颤动、心房扑动、停搏、起搏心律、短PR间期、预激综合征、传导阻滞等心律失常异常心电图的自动识别功能。</w:t>
            </w:r>
          </w:p>
          <w:p w14:paraId="64448807">
            <w:pPr>
              <w:pStyle w:val="70"/>
              <w:widowControl/>
              <w:numPr>
                <w:ilvl w:val="0"/>
                <w:numId w:val="28"/>
              </w:numPr>
              <w:adjustRightInd w:val="0"/>
              <w:snapToGrid w:val="0"/>
              <w:ind w:left="0" w:firstLine="0" w:firstLineChars="0"/>
              <w:rPr>
                <w:sz w:val="24"/>
                <w:szCs w:val="24"/>
              </w:rPr>
            </w:pPr>
            <w:r>
              <w:rPr>
                <w:sz w:val="24"/>
                <w:szCs w:val="24"/>
              </w:rPr>
              <w:t>支持急性心肌梗塞和陈旧性心肌梗塞等心肌梗塞异常心电图的自动识别。</w:t>
            </w:r>
          </w:p>
          <w:p w14:paraId="7AC2E181">
            <w:pPr>
              <w:pStyle w:val="70"/>
              <w:widowControl/>
              <w:numPr>
                <w:ilvl w:val="0"/>
                <w:numId w:val="28"/>
              </w:numPr>
              <w:adjustRightInd w:val="0"/>
              <w:snapToGrid w:val="0"/>
              <w:ind w:left="0" w:firstLine="0" w:firstLineChars="0"/>
              <w:rPr>
                <w:sz w:val="24"/>
                <w:szCs w:val="24"/>
              </w:rPr>
            </w:pPr>
            <w:r>
              <w:rPr>
                <w:sz w:val="24"/>
                <w:szCs w:val="24"/>
              </w:rPr>
              <w:t>支持ST压低、ST抬高、T波异常、ST_T改变、QTc间期等ST-T异常心电图的自动识别。准确定位ST-T改变，协助医生快速定位心肌缺血、急性梗死等心电事件。</w:t>
            </w:r>
          </w:p>
          <w:p w14:paraId="0C4B2122">
            <w:pPr>
              <w:pStyle w:val="70"/>
              <w:widowControl/>
              <w:numPr>
                <w:ilvl w:val="0"/>
                <w:numId w:val="28"/>
              </w:numPr>
              <w:adjustRightInd w:val="0"/>
              <w:snapToGrid w:val="0"/>
              <w:ind w:left="0" w:firstLine="0" w:firstLineChars="0"/>
              <w:rPr>
                <w:sz w:val="24"/>
                <w:szCs w:val="24"/>
              </w:rPr>
            </w:pPr>
            <w:r>
              <w:rPr>
                <w:sz w:val="24"/>
                <w:szCs w:val="24"/>
              </w:rPr>
              <w:t>支持右室肥大、左室肥大、右房增大、左房增大等房室肥大异常心电图的自动识别。</w:t>
            </w:r>
          </w:p>
          <w:p w14:paraId="5CBB62F2">
            <w:pPr>
              <w:pStyle w:val="70"/>
              <w:widowControl/>
              <w:numPr>
                <w:ilvl w:val="0"/>
                <w:numId w:val="28"/>
              </w:numPr>
              <w:adjustRightInd w:val="0"/>
              <w:snapToGrid w:val="0"/>
              <w:ind w:left="0" w:firstLine="0" w:firstLineChars="0"/>
              <w:rPr>
                <w:sz w:val="24"/>
                <w:szCs w:val="24"/>
              </w:rPr>
            </w:pPr>
            <w:r>
              <w:rPr>
                <w:sz w:val="24"/>
                <w:szCs w:val="24"/>
              </w:rPr>
              <w:t>AI可自动识别心电图的采集质量，如是否有左右手接反、伪差、导联脱落、起搏信号等情况；</w:t>
            </w:r>
          </w:p>
          <w:p w14:paraId="2F2DFB34">
            <w:pPr>
              <w:pStyle w:val="70"/>
              <w:widowControl/>
              <w:numPr>
                <w:ilvl w:val="0"/>
                <w:numId w:val="28"/>
              </w:numPr>
              <w:adjustRightInd w:val="0"/>
              <w:snapToGrid w:val="0"/>
              <w:ind w:left="0" w:firstLine="0" w:firstLineChars="0"/>
              <w:rPr>
                <w:sz w:val="24"/>
                <w:szCs w:val="24"/>
              </w:rPr>
            </w:pPr>
            <w:r>
              <w:rPr>
                <w:sz w:val="24"/>
                <w:szCs w:val="24"/>
              </w:rPr>
              <w:t>支持识别特定类型病人并提醒采集人员补充完善临床信息，如患者是否佩戴了起搏器，从源头上规避影响诊断的重采问题；</w:t>
            </w:r>
          </w:p>
          <w:p w14:paraId="3FE421C1">
            <w:pPr>
              <w:pStyle w:val="70"/>
              <w:widowControl/>
              <w:numPr>
                <w:ilvl w:val="0"/>
                <w:numId w:val="28"/>
              </w:numPr>
              <w:adjustRightInd w:val="0"/>
              <w:snapToGrid w:val="0"/>
              <w:ind w:left="0" w:firstLine="0" w:firstLineChars="0"/>
              <w:rPr>
                <w:sz w:val="24"/>
                <w:szCs w:val="24"/>
              </w:rPr>
            </w:pPr>
            <w:r>
              <w:rPr>
                <w:sz w:val="24"/>
                <w:szCs w:val="24"/>
              </w:rPr>
              <w:t>支持以消息弹窗和语音提醒的方式提醒诊断医生危急值数据，支持急性心肌梗塞、严重过速型心律失常、严重过缓型心律失常等类型。并支持危急数据通过微信推送给指定专家，精准判读，缩短患者救治时间。</w:t>
            </w:r>
          </w:p>
          <w:p w14:paraId="6200F487">
            <w:pPr>
              <w:pStyle w:val="70"/>
              <w:widowControl/>
              <w:numPr>
                <w:ilvl w:val="0"/>
                <w:numId w:val="28"/>
              </w:numPr>
              <w:adjustRightInd w:val="0"/>
              <w:snapToGrid w:val="0"/>
              <w:ind w:left="0" w:firstLine="0" w:firstLineChars="0"/>
              <w:rPr>
                <w:sz w:val="24"/>
                <w:szCs w:val="24"/>
              </w:rPr>
            </w:pPr>
            <w:r>
              <w:rPr>
                <w:sz w:val="24"/>
                <w:szCs w:val="24"/>
              </w:rPr>
              <w:t>辅助诊断：采用深度学习心电分析模块自动诊断心电图，并将诊断结论引用至诊断报告中。在提交诊断时，后台对医生的诊断词条进行审核，自动匹配AI诊断结论和医生诊断结论，若出现漏诊情况，系统将有弹窗提示，提醒诊断医师漏诊项。</w:t>
            </w:r>
          </w:p>
          <w:p w14:paraId="4DF591D0">
            <w:pPr>
              <w:pStyle w:val="70"/>
              <w:widowControl/>
              <w:numPr>
                <w:ilvl w:val="0"/>
                <w:numId w:val="28"/>
              </w:numPr>
              <w:adjustRightInd w:val="0"/>
              <w:snapToGrid w:val="0"/>
              <w:ind w:left="0" w:firstLine="0" w:firstLineChars="0"/>
              <w:rPr>
                <w:sz w:val="24"/>
                <w:szCs w:val="24"/>
              </w:rPr>
            </w:pPr>
            <w:r>
              <w:rPr>
                <w:sz w:val="24"/>
                <w:szCs w:val="24"/>
              </w:rPr>
              <w:t>特征标记：AI诊断后，点击AI特征标记可跳转到对应波形位置，标记诊断依据。支持类型窦性心律不齐、房性早搏、室性心动过速、心动过缓、长RR间期、急性心梗等疾病类型心电波形特征的标记。</w:t>
            </w:r>
          </w:p>
          <w:p w14:paraId="4EBE14E3">
            <w:pPr>
              <w:pStyle w:val="70"/>
              <w:widowControl/>
              <w:numPr>
                <w:ilvl w:val="0"/>
                <w:numId w:val="28"/>
              </w:numPr>
              <w:adjustRightInd w:val="0"/>
              <w:snapToGrid w:val="0"/>
              <w:ind w:left="0" w:firstLine="0" w:firstLineChars="0"/>
              <w:rPr>
                <w:sz w:val="24"/>
                <w:szCs w:val="24"/>
              </w:rPr>
            </w:pPr>
            <w:r>
              <w:rPr>
                <w:sz w:val="24"/>
                <w:szCs w:val="24"/>
              </w:rPr>
              <w:t>起搏信号智能标识：通过AI帮助医生快速识别出微弱的起搏信号，避免漏诊误诊。</w:t>
            </w:r>
          </w:p>
        </w:tc>
      </w:tr>
      <w:tr w14:paraId="5FFB3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trPr>
        <w:tc>
          <w:tcPr>
            <w:tcW w:w="479" w:type="pct"/>
            <w:vAlign w:val="center"/>
          </w:tcPr>
          <w:p w14:paraId="602A5683">
            <w:pPr>
              <w:pStyle w:val="70"/>
              <w:numPr>
                <w:ilvl w:val="0"/>
                <w:numId w:val="21"/>
              </w:numPr>
              <w:adjustRightInd w:val="0"/>
              <w:snapToGrid w:val="0"/>
              <w:spacing w:line="240" w:lineRule="auto"/>
              <w:ind w:left="0" w:firstLine="0" w:firstLineChars="0"/>
              <w:jc w:val="center"/>
              <w:rPr>
                <w:sz w:val="24"/>
                <w:szCs w:val="24"/>
              </w:rPr>
            </w:pPr>
          </w:p>
        </w:tc>
        <w:tc>
          <w:tcPr>
            <w:tcW w:w="427" w:type="pct"/>
            <w:vAlign w:val="center"/>
          </w:tcPr>
          <w:p w14:paraId="0529CE03">
            <w:pPr>
              <w:adjustRightInd w:val="0"/>
              <w:snapToGrid w:val="0"/>
              <w:jc w:val="left"/>
              <w:rPr>
                <w:rFonts w:ascii="宋体" w:hAnsi="宋体" w:cs="宋体"/>
                <w:sz w:val="24"/>
                <w:szCs w:val="24"/>
              </w:rPr>
            </w:pPr>
            <w:r>
              <w:rPr>
                <w:rFonts w:hint="eastAsia" w:ascii="宋体" w:hAnsi="宋体"/>
                <w:sz w:val="24"/>
                <w:szCs w:val="24"/>
              </w:rPr>
              <w:t>数据统计与质控管理</w:t>
            </w:r>
          </w:p>
        </w:tc>
        <w:tc>
          <w:tcPr>
            <w:tcW w:w="4094" w:type="pct"/>
          </w:tcPr>
          <w:p w14:paraId="564F0F82">
            <w:pPr>
              <w:pStyle w:val="70"/>
              <w:widowControl/>
              <w:numPr>
                <w:ilvl w:val="0"/>
                <w:numId w:val="29"/>
              </w:numPr>
              <w:adjustRightInd w:val="0"/>
              <w:snapToGrid w:val="0"/>
              <w:ind w:left="0" w:firstLine="0" w:firstLineChars="0"/>
              <w:rPr>
                <w:sz w:val="24"/>
                <w:szCs w:val="24"/>
              </w:rPr>
            </w:pPr>
            <w:r>
              <w:rPr>
                <w:rFonts w:hint="eastAsia"/>
                <w:sz w:val="24"/>
                <w:szCs w:val="24"/>
              </w:rPr>
              <w:t>支持GIS技术，展示区域内的诊断资源和检查量分布。利用大数据可视化系统，通过对医院心电检查、诊断、资源分布等数据的分析挖掘，为院内的业务开展和资源分配提供数据支撑。</w:t>
            </w:r>
          </w:p>
          <w:p w14:paraId="5081B410">
            <w:pPr>
              <w:pStyle w:val="70"/>
              <w:widowControl/>
              <w:numPr>
                <w:ilvl w:val="0"/>
                <w:numId w:val="29"/>
              </w:numPr>
              <w:adjustRightInd w:val="0"/>
              <w:snapToGrid w:val="0"/>
              <w:ind w:left="0" w:firstLine="0" w:firstLineChars="0"/>
              <w:rPr>
                <w:sz w:val="24"/>
                <w:szCs w:val="24"/>
              </w:rPr>
            </w:pPr>
            <w:r>
              <w:rPr>
                <w:rFonts w:hint="eastAsia"/>
                <w:sz w:val="24"/>
                <w:szCs w:val="24"/>
              </w:rPr>
              <w:t>统计分析：实现管理部门对病种、医生、检查报告的统计分析。</w:t>
            </w:r>
          </w:p>
          <w:p w14:paraId="00211A7F">
            <w:pPr>
              <w:pStyle w:val="70"/>
              <w:widowControl/>
              <w:numPr>
                <w:ilvl w:val="0"/>
                <w:numId w:val="29"/>
              </w:numPr>
              <w:adjustRightInd w:val="0"/>
              <w:snapToGrid w:val="0"/>
              <w:ind w:left="0" w:firstLine="0" w:firstLineChars="0"/>
              <w:rPr>
                <w:sz w:val="24"/>
                <w:szCs w:val="24"/>
              </w:rPr>
            </w:pPr>
            <w:r>
              <w:rPr>
                <w:rFonts w:hint="eastAsia"/>
                <w:sz w:val="24"/>
                <w:szCs w:val="24"/>
              </w:rPr>
              <w:t>支持根据机构、诊断中心查看报告检查量、诊断量。</w:t>
            </w:r>
          </w:p>
          <w:p w14:paraId="610382BA">
            <w:pPr>
              <w:pStyle w:val="70"/>
              <w:widowControl/>
              <w:numPr>
                <w:ilvl w:val="0"/>
                <w:numId w:val="29"/>
              </w:numPr>
              <w:adjustRightInd w:val="0"/>
              <w:snapToGrid w:val="0"/>
              <w:ind w:left="0" w:firstLine="0" w:firstLineChars="0"/>
              <w:rPr>
                <w:sz w:val="24"/>
                <w:szCs w:val="24"/>
              </w:rPr>
            </w:pPr>
            <w:r>
              <w:rPr>
                <w:rFonts w:hint="eastAsia"/>
                <w:sz w:val="24"/>
                <w:szCs w:val="24"/>
              </w:rPr>
              <w:t>支持诊断来源分布统计。</w:t>
            </w:r>
          </w:p>
          <w:p w14:paraId="06311965">
            <w:pPr>
              <w:pStyle w:val="70"/>
              <w:widowControl/>
              <w:numPr>
                <w:ilvl w:val="0"/>
                <w:numId w:val="29"/>
              </w:numPr>
              <w:adjustRightInd w:val="0"/>
              <w:snapToGrid w:val="0"/>
              <w:ind w:left="0" w:firstLine="0" w:firstLineChars="0"/>
              <w:rPr>
                <w:sz w:val="24"/>
                <w:szCs w:val="24"/>
              </w:rPr>
            </w:pPr>
            <w:r>
              <w:rPr>
                <w:rFonts w:hint="eastAsia"/>
                <w:sz w:val="24"/>
                <w:szCs w:val="24"/>
              </w:rPr>
              <w:t>支持危急值统计分析，支持列表和柱状图展示。</w:t>
            </w:r>
          </w:p>
          <w:p w14:paraId="7E93FA4F">
            <w:pPr>
              <w:pStyle w:val="70"/>
              <w:numPr>
                <w:ilvl w:val="0"/>
                <w:numId w:val="29"/>
              </w:numPr>
              <w:adjustRightInd w:val="0"/>
              <w:snapToGrid w:val="0"/>
              <w:ind w:left="0" w:firstLine="0" w:firstLineChars="0"/>
              <w:rPr>
                <w:sz w:val="24"/>
                <w:szCs w:val="24"/>
              </w:rPr>
            </w:pPr>
            <w:r>
              <w:rPr>
                <w:rFonts w:hint="eastAsia"/>
                <w:sz w:val="24"/>
                <w:szCs w:val="24"/>
              </w:rPr>
              <w:t>基于平台建设，成立心电质控中心，组建质控团队，支持从采集质量、病人信息完整度、诊断报告质量、报告规范、诊断时效、疑难病例、危急值数据等不同维度建立心电质控指标，对心电检查诊断业务进行全面的质控分析。</w:t>
            </w:r>
          </w:p>
          <w:p w14:paraId="0A34C566">
            <w:pPr>
              <w:pStyle w:val="70"/>
              <w:widowControl/>
              <w:numPr>
                <w:ilvl w:val="0"/>
                <w:numId w:val="29"/>
              </w:numPr>
              <w:adjustRightInd w:val="0"/>
              <w:snapToGrid w:val="0"/>
              <w:ind w:left="0" w:firstLine="0" w:firstLineChars="0"/>
              <w:rPr>
                <w:sz w:val="24"/>
                <w:szCs w:val="24"/>
              </w:rPr>
            </w:pPr>
            <w:r>
              <w:rPr>
                <w:rFonts w:hint="eastAsia"/>
                <w:sz w:val="24"/>
                <w:szCs w:val="24"/>
              </w:rPr>
              <w:t>支持通过心电人工智能进行质控分析，评估诊断医生和诊断组的诊断质量，进一步明确后续的培训方向和提高培训效果。</w:t>
            </w:r>
          </w:p>
        </w:tc>
      </w:tr>
    </w:tbl>
    <w:p w14:paraId="5F9416C8">
      <w:pPr>
        <w:pStyle w:val="3"/>
        <w:ind w:firstLine="0" w:firstLineChars="0"/>
      </w:pPr>
    </w:p>
    <w:p w14:paraId="5EF8BC27">
      <w:pPr>
        <w:pStyle w:val="5"/>
        <w:numPr>
          <w:ilvl w:val="2"/>
          <w:numId w:val="16"/>
        </w:numPr>
      </w:pPr>
      <w:bookmarkStart w:id="339" w:name="_Toc202539075"/>
      <w:r>
        <w:rPr>
          <w:rFonts w:hint="eastAsia"/>
        </w:rPr>
        <w:t>区域医学检验中心</w:t>
      </w:r>
      <w:bookmarkEnd w:id="339"/>
    </w:p>
    <w:p w14:paraId="26B62FD3">
      <w:pPr>
        <w:pStyle w:val="3"/>
      </w:pPr>
      <w:r>
        <w:rPr>
          <w:rFonts w:hint="eastAsia"/>
        </w:rPr>
        <w:t>以乌拉特前旗人民医院的LIS系统为主，延伸覆盖基层机构，实现临床检验中心。</w:t>
      </w:r>
    </w:p>
    <w:p w14:paraId="5F8BB825">
      <w:pPr>
        <w:pStyle w:val="6"/>
        <w:numPr>
          <w:ilvl w:val="3"/>
          <w:numId w:val="16"/>
        </w:numPr>
      </w:pPr>
      <w:r>
        <w:t>检验中台</w:t>
      </w:r>
    </w:p>
    <w:p w14:paraId="2B8E231A">
      <w:pPr>
        <w:pStyle w:val="3"/>
      </w:pPr>
      <w:r>
        <w:rPr>
          <w:rFonts w:hint="eastAsia"/>
        </w:rPr>
        <w:t>支持</w:t>
      </w:r>
      <w:r>
        <w:t>通对实验室内部模块进行封装，实现统一登录，并依据授权</w:t>
      </w:r>
      <w:r>
        <w:rPr>
          <w:rFonts w:hint="eastAsia"/>
        </w:rPr>
        <w:t>使用</w:t>
      </w:r>
      <w:r>
        <w:t>模块或工作单元；提供自动质控等决速工作入口；支持实验室内部即时</w:t>
      </w:r>
      <w:r>
        <w:rPr>
          <w:rFonts w:hint="eastAsia"/>
        </w:rPr>
        <w:t>消</w:t>
      </w:r>
      <w:r>
        <w:t>息发布和信息通讯、警示信息提醒等管理功能。</w:t>
      </w:r>
    </w:p>
    <w:p w14:paraId="2563BD65">
      <w:pPr>
        <w:pStyle w:val="6"/>
        <w:numPr>
          <w:ilvl w:val="3"/>
          <w:numId w:val="16"/>
        </w:numPr>
      </w:pPr>
      <w:r>
        <w:t>系统环境参数配置</w:t>
      </w:r>
    </w:p>
    <w:p w14:paraId="7C3EF1EC">
      <w:pPr>
        <w:pStyle w:val="3"/>
      </w:pPr>
      <w:r>
        <w:rPr>
          <w:rFonts w:hint="eastAsia" w:asciiTheme="minorEastAsia" w:hAnsiTheme="minorEastAsia" w:eastAsiaTheme="minorEastAsia"/>
        </w:rPr>
        <w:t>支持以下功能：</w:t>
      </w:r>
    </w:p>
    <w:p w14:paraId="1F2A3D92">
      <w:pPr>
        <w:pStyle w:val="3"/>
      </w:pPr>
      <w:r>
        <w:rPr>
          <w:rFonts w:ascii="微软雅黑" w:hAnsi="微软雅黑" w:eastAsia="微软雅黑" w:cs="微软雅黑"/>
        </w:rPr>
        <w:t>1</w:t>
      </w:r>
      <w:r>
        <w:t>．按照数据中心、机构、检验科室、检验专业组分层级统一管理，内容包括但不局限于组织机构、人员、检验项目、分析项目、标本种类、终端参数等数据。</w:t>
      </w:r>
    </w:p>
    <w:p w14:paraId="14BAC1C9">
      <w:pPr>
        <w:pStyle w:val="3"/>
      </w:pPr>
      <w:r>
        <w:t>2．检验项目基本属性应包括：标准代码、中文名称、英文名称、中文简称、英文简称、检查类型、是否对外服务等。</w:t>
      </w:r>
    </w:p>
    <w:p w14:paraId="3C4EAAB0">
      <w:pPr>
        <w:pStyle w:val="175"/>
        <w:ind w:firstLine="480"/>
      </w:pPr>
      <w:r>
        <w:rPr>
          <w:rFonts w:hint="eastAsia"/>
        </w:rPr>
        <w:t>2.1</w:t>
      </w:r>
      <w:r>
        <w:t>检验项目可从院区、检验科室、检验专业组、工作单元、患者类别、检查类别、检查等级、临床科室、年龄、标本种类、采集单元、时间等维度对开单、医嘱执行、标签打印、检验回执单、样本流转、接收、检验、TAT等环节进行个性化定义，实现检验全过程智能化调度和精准服务</w:t>
      </w:r>
      <w:r>
        <w:rPr>
          <w:rFonts w:hint="eastAsia"/>
        </w:rPr>
        <w:t>。</w:t>
      </w:r>
    </w:p>
    <w:p w14:paraId="46EF86FE">
      <w:pPr>
        <w:pStyle w:val="175"/>
        <w:ind w:firstLine="480"/>
      </w:pPr>
      <w:r>
        <w:rPr>
          <w:rFonts w:hint="eastAsia"/>
        </w:rPr>
        <w:t>2.2</w:t>
      </w:r>
      <w:r>
        <w:t>针</w:t>
      </w:r>
      <w:r>
        <w:rPr>
          <w:rFonts w:hint="eastAsia"/>
        </w:rPr>
        <w:t>对如</w:t>
      </w:r>
      <w:r>
        <w:t>糖耐量、醛固酮等特殊项目定义多样本采集顺序、样本数量、特定采集时间等属性</w:t>
      </w:r>
    </w:p>
    <w:p w14:paraId="5F9C9CE7">
      <w:pPr>
        <w:pStyle w:val="3"/>
      </w:pPr>
      <w:r>
        <w:t>3．分析项目基本属性，应包括：标准代码、中文名称、英文名称、中文简称、英文简称、项目分类、定量/定性、检测方法、项目类型、计量单位等，计算项目可自定义计算公式；还应涵盖结果转换系数、计量单位、检测方法、分析时长、稀释倍数、可报告范围、线性范围等检测属性；允许不精密度、允许偏倚、允许总误差（TEa）等质量属性</w:t>
      </w:r>
      <w:r>
        <w:rPr>
          <w:rFonts w:hint="eastAsia"/>
        </w:rPr>
        <w:t>。</w:t>
      </w:r>
    </w:p>
    <w:p w14:paraId="220CD953">
      <w:pPr>
        <w:pStyle w:val="6"/>
        <w:numPr>
          <w:ilvl w:val="3"/>
          <w:numId w:val="16"/>
        </w:numPr>
      </w:pPr>
      <w:r>
        <w:t>智能检验护士站</w:t>
      </w:r>
    </w:p>
    <w:p w14:paraId="1ADB9013">
      <w:pPr>
        <w:pStyle w:val="3"/>
      </w:pPr>
      <w:r>
        <w:rPr>
          <w:rFonts w:hint="eastAsia"/>
        </w:rPr>
        <w:t>支持</w:t>
      </w:r>
      <w:r>
        <w:t>提供第三方调用的临床护士样本采集页面。涵盖医嘱获取、容器准备、标签打印/补打、样本采集，样本归集、样本打包送出等过程管理，不合格样本接报及处置，危急值接报，召回报告确认、延时报告确认、TAT超时提醒等消息操作，及检验报告浏览等。适应现打条形码、预制条形码两种应用模式。</w:t>
      </w:r>
      <w:r>
        <w:rPr>
          <w:rFonts w:hint="eastAsia" w:asciiTheme="minorEastAsia" w:hAnsiTheme="minorEastAsia" w:eastAsiaTheme="minorEastAsia"/>
        </w:rPr>
        <w:t>具备支持以下功能：</w:t>
      </w:r>
    </w:p>
    <w:p w14:paraId="1C5D4E70">
      <w:pPr>
        <w:pStyle w:val="175"/>
        <w:ind w:firstLine="480"/>
      </w:pPr>
      <w:r>
        <w:t>申请自动拆分和合并成标本</w:t>
      </w:r>
    </w:p>
    <w:p w14:paraId="677FBE3A">
      <w:pPr>
        <w:pStyle w:val="175"/>
        <w:ind w:firstLine="480"/>
      </w:pPr>
      <w:r>
        <w:t>标类型错误的有效控制</w:t>
      </w:r>
    </w:p>
    <w:p w14:paraId="5709FDF5">
      <w:pPr>
        <w:pStyle w:val="175"/>
        <w:ind w:firstLine="480"/>
      </w:pPr>
      <w:r>
        <w:t>标本容器错误的有效控制</w:t>
      </w:r>
    </w:p>
    <w:p w14:paraId="6D91F4F8">
      <w:pPr>
        <w:pStyle w:val="175"/>
        <w:ind w:firstLine="480"/>
      </w:pPr>
      <w:r>
        <w:t>采集时间要求的有效控制</w:t>
      </w:r>
    </w:p>
    <w:p w14:paraId="1A0FDFF0">
      <w:pPr>
        <w:pStyle w:val="175"/>
        <w:ind w:firstLine="480"/>
      </w:pPr>
      <w:r>
        <w:t>TAT时间自动计算</w:t>
      </w:r>
    </w:p>
    <w:p w14:paraId="24CC6537">
      <w:pPr>
        <w:pStyle w:val="175"/>
        <w:ind w:firstLine="480"/>
      </w:pPr>
      <w:r>
        <w:t>标本TAT超时提醒</w:t>
      </w:r>
    </w:p>
    <w:p w14:paraId="45C19EFB">
      <w:pPr>
        <w:pStyle w:val="175"/>
        <w:ind w:firstLine="480"/>
      </w:pPr>
      <w:r>
        <w:t>采血费的自动计算和收取</w:t>
      </w:r>
    </w:p>
    <w:p w14:paraId="4F2A8C7F">
      <w:pPr>
        <w:pStyle w:val="175"/>
        <w:ind w:firstLine="480"/>
      </w:pPr>
      <w:r>
        <w:t>试管费的自动计算和收取</w:t>
      </w:r>
    </w:p>
    <w:p w14:paraId="4E284146">
      <w:pPr>
        <w:pStyle w:val="175"/>
        <w:ind w:firstLine="480"/>
      </w:pPr>
      <w:r>
        <w:t>自动产生实验室内部编号</w:t>
      </w:r>
    </w:p>
    <w:p w14:paraId="716FEA7F">
      <w:pPr>
        <w:pStyle w:val="6"/>
        <w:numPr>
          <w:ilvl w:val="3"/>
          <w:numId w:val="16"/>
        </w:numPr>
      </w:pPr>
      <w:r>
        <w:t>智慧采集工作站</w:t>
      </w:r>
    </w:p>
    <w:p w14:paraId="4468BFDE">
      <w:pPr>
        <w:pStyle w:val="3"/>
      </w:pPr>
      <w:r>
        <w:rPr>
          <w:rFonts w:hint="eastAsia" w:asciiTheme="minorEastAsia" w:hAnsiTheme="minorEastAsia" w:eastAsiaTheme="minorEastAsia"/>
        </w:rPr>
        <w:t>支持以下功能：</w:t>
      </w:r>
    </w:p>
    <w:p w14:paraId="3A0A14A1">
      <w:pPr>
        <w:pStyle w:val="3"/>
      </w:pPr>
      <w:r>
        <w:rPr>
          <w:rFonts w:ascii="微软雅黑" w:hAnsi="微软雅黑" w:eastAsia="微软雅黑" w:cs="微软雅黑"/>
        </w:rPr>
        <w:t xml:space="preserve"> </w:t>
      </w:r>
      <w:r>
        <w:t>通过接囗获取门诊检验申请信息并生成条形码电子标签；并支持现打条形码和预制条形码多种形式</w:t>
      </w:r>
    </w:p>
    <w:p w14:paraId="0A3B0E54">
      <w:pPr>
        <w:pStyle w:val="3"/>
      </w:pPr>
      <w:r>
        <w:t xml:space="preserve"> 支持采集前患者信息自动验证：基础信息验证</w:t>
      </w:r>
    </w:p>
    <w:p w14:paraId="572550B5">
      <w:pPr>
        <w:pStyle w:val="3"/>
      </w:pPr>
      <w:r>
        <w:t xml:space="preserve"> 支持界面标本容器类型形象展示和提醒，并支持标本采集川页序提示</w:t>
      </w:r>
    </w:p>
    <w:p w14:paraId="75CF702A">
      <w:pPr>
        <w:pStyle w:val="3"/>
      </w:pPr>
      <w:r>
        <w:t xml:space="preserve"> 支持患者特殊标识提示，如晕针、HIV阳性等</w:t>
      </w:r>
    </w:p>
    <w:p w14:paraId="4C633D06">
      <w:pPr>
        <w:pStyle w:val="3"/>
      </w:pPr>
      <w:r>
        <w:t xml:space="preserve"> 支持多采集单元的部署和管理</w:t>
      </w:r>
    </w:p>
    <w:p w14:paraId="43CDDD76">
      <w:pPr>
        <w:pStyle w:val="3"/>
      </w:pPr>
      <w:r>
        <w:t xml:space="preserve"> 可以自定义窗囗采集包含的诊疗项目，对每个窗囗采集种类进行个性化定义</w:t>
      </w:r>
    </w:p>
    <w:p w14:paraId="665FC11D">
      <w:pPr>
        <w:pStyle w:val="3"/>
      </w:pPr>
      <w:r>
        <w:t xml:space="preserve"> 准确记录采集时间、采集人信息</w:t>
      </w:r>
    </w:p>
    <w:p w14:paraId="364ED9D0">
      <w:pPr>
        <w:pStyle w:val="3"/>
      </w:pPr>
      <w:r>
        <w:t>支持对门诊标本采集时间范围、门诊标本采集地点、门诊采集排队叫号分类、门诊标本取报告时间、门诊标本取报告地点实现采集及相关管理。</w:t>
      </w:r>
    </w:p>
    <w:p w14:paraId="41D71AD8">
      <w:pPr>
        <w:pStyle w:val="3"/>
      </w:pPr>
      <w:r>
        <w:t>支持样本按采集单元或采集窗囗进行封包送出。</w:t>
      </w:r>
    </w:p>
    <w:p w14:paraId="4FBF861D">
      <w:pPr>
        <w:pStyle w:val="3"/>
      </w:pPr>
      <w:r>
        <w:t>支持样本闭环操作：不合格登记、不合格重采操作、危急值登记提醒、危急值确认操作。</w:t>
      </w:r>
    </w:p>
    <w:p w14:paraId="5BCFDA91">
      <w:pPr>
        <w:pStyle w:val="3"/>
      </w:pPr>
      <w:r>
        <w:t>智能化控制要求：</w:t>
      </w:r>
    </w:p>
    <w:p w14:paraId="7A312DA4">
      <w:pPr>
        <w:pStyle w:val="3"/>
        <w:numPr>
          <w:ilvl w:val="0"/>
          <w:numId w:val="30"/>
        </w:numPr>
        <w:ind w:firstLineChars="0"/>
      </w:pPr>
      <w:r>
        <w:t>申请自动拆分和合并成标本</w:t>
      </w:r>
    </w:p>
    <w:p w14:paraId="0ED00A87">
      <w:pPr>
        <w:pStyle w:val="3"/>
        <w:numPr>
          <w:ilvl w:val="0"/>
          <w:numId w:val="30"/>
        </w:numPr>
        <w:ind w:firstLineChars="0"/>
      </w:pPr>
      <w:r>
        <w:t>标本类型错误的有效控制</w:t>
      </w:r>
    </w:p>
    <w:p w14:paraId="07162280">
      <w:pPr>
        <w:pStyle w:val="3"/>
        <w:numPr>
          <w:ilvl w:val="0"/>
          <w:numId w:val="30"/>
        </w:numPr>
        <w:ind w:firstLineChars="0"/>
      </w:pPr>
      <w:r>
        <w:t>标本容器错误的有效控制</w:t>
      </w:r>
    </w:p>
    <w:p w14:paraId="409E7B09">
      <w:pPr>
        <w:pStyle w:val="3"/>
        <w:numPr>
          <w:ilvl w:val="0"/>
          <w:numId w:val="30"/>
        </w:numPr>
        <w:ind w:firstLineChars="0"/>
      </w:pPr>
      <w:r>
        <w:t>采集时间要求的有效控制</w:t>
      </w:r>
    </w:p>
    <w:p w14:paraId="571514F4">
      <w:pPr>
        <w:pStyle w:val="3"/>
        <w:numPr>
          <w:ilvl w:val="0"/>
          <w:numId w:val="30"/>
        </w:numPr>
        <w:ind w:firstLineChars="0"/>
      </w:pPr>
      <w:r>
        <w:t>孕期孕周判断提醒</w:t>
      </w:r>
    </w:p>
    <w:p w14:paraId="43E537AB">
      <w:pPr>
        <w:pStyle w:val="3"/>
        <w:numPr>
          <w:ilvl w:val="0"/>
          <w:numId w:val="30"/>
        </w:numPr>
        <w:ind w:firstLineChars="0"/>
      </w:pPr>
      <w:r>
        <w:t>TAT时间自动计算</w:t>
      </w:r>
    </w:p>
    <w:p w14:paraId="758D5A30">
      <w:pPr>
        <w:pStyle w:val="3"/>
        <w:numPr>
          <w:ilvl w:val="0"/>
          <w:numId w:val="30"/>
        </w:numPr>
        <w:ind w:firstLineChars="0"/>
      </w:pPr>
      <w:r>
        <w:t>标本TAT超时提醒</w:t>
      </w:r>
    </w:p>
    <w:p w14:paraId="3658B0CB">
      <w:pPr>
        <w:pStyle w:val="3"/>
        <w:numPr>
          <w:ilvl w:val="0"/>
          <w:numId w:val="30"/>
        </w:numPr>
        <w:ind w:firstLineChars="0"/>
      </w:pPr>
      <w:r>
        <w:t>采血费的自动计算和收取</w:t>
      </w:r>
    </w:p>
    <w:p w14:paraId="025E3453">
      <w:pPr>
        <w:pStyle w:val="3"/>
        <w:numPr>
          <w:ilvl w:val="0"/>
          <w:numId w:val="30"/>
        </w:numPr>
        <w:ind w:firstLineChars="0"/>
      </w:pPr>
      <w:r>
        <w:t>试管费的自动计算和收取</w:t>
      </w:r>
    </w:p>
    <w:p w14:paraId="0B83F6D9">
      <w:pPr>
        <w:pStyle w:val="3"/>
        <w:numPr>
          <w:ilvl w:val="0"/>
          <w:numId w:val="30"/>
        </w:numPr>
        <w:ind w:firstLineChars="0"/>
      </w:pPr>
      <w:r>
        <w:t>自动产生实验室内部编号</w:t>
      </w:r>
    </w:p>
    <w:p w14:paraId="5BBF8B19">
      <w:pPr>
        <w:pStyle w:val="3"/>
      </w:pPr>
      <w:r>
        <w:t>支持窗囗快速检验结果及报告的快速处理。</w:t>
      </w:r>
    </w:p>
    <w:p w14:paraId="2440559D">
      <w:pPr>
        <w:pStyle w:val="6"/>
        <w:numPr>
          <w:ilvl w:val="3"/>
          <w:numId w:val="16"/>
        </w:numPr>
      </w:pPr>
      <w:r>
        <w:t>智能检验报告浏览器</w:t>
      </w:r>
    </w:p>
    <w:p w14:paraId="7BDB9A3A">
      <w:pPr>
        <w:pStyle w:val="3"/>
      </w:pPr>
      <w:r>
        <w:rPr>
          <w:rFonts w:hint="eastAsia" w:asciiTheme="minorEastAsia" w:hAnsiTheme="minorEastAsia" w:eastAsiaTheme="minorEastAsia"/>
        </w:rPr>
        <w:t>支持以下功能：</w:t>
      </w:r>
    </w:p>
    <w:p w14:paraId="6910F928">
      <w:pPr>
        <w:pStyle w:val="3"/>
      </w:pPr>
      <w:r>
        <w:t>提供第三方调用的检验报告浏览器。</w:t>
      </w:r>
    </w:p>
    <w:p w14:paraId="1F7C5F4E">
      <w:pPr>
        <w:pStyle w:val="3"/>
      </w:pPr>
      <w:r>
        <w:t>提供专业的对检验报告、数据进行氵刘览、阅读、引用、打印、分析的工具。</w:t>
      </w:r>
    </w:p>
    <w:p w14:paraId="4D30FEF6">
      <w:pPr>
        <w:pStyle w:val="3"/>
      </w:pPr>
      <w:r>
        <w:t>含盖所有种类的检验报告，包括：常规检验报告、微生物检验报告、图形图像检验报告</w:t>
      </w:r>
      <w:r>
        <w:drawing>
          <wp:inline distT="0" distB="0" distL="0" distR="0">
            <wp:extent cx="38100" cy="38100"/>
            <wp:effectExtent l="0" t="0" r="0" b="0"/>
            <wp:docPr id="122110" name="Picture 122110"/>
            <wp:cNvGraphicFramePr/>
            <a:graphic xmlns:a="http://schemas.openxmlformats.org/drawingml/2006/main">
              <a:graphicData uri="http://schemas.openxmlformats.org/drawingml/2006/picture">
                <pic:pic xmlns:pic="http://schemas.openxmlformats.org/drawingml/2006/picture">
                  <pic:nvPicPr>
                    <pic:cNvPr id="122110" name="Picture 122110"/>
                    <pic:cNvPicPr/>
                  </pic:nvPicPr>
                  <pic:blipFill>
                    <a:blip r:embed="rId10"/>
                    <a:stretch>
                      <a:fillRect/>
                    </a:stretch>
                  </pic:blipFill>
                  <pic:spPr>
                    <a:xfrm>
                      <a:off x="0" y="0"/>
                      <a:ext cx="38100" cy="38100"/>
                    </a:xfrm>
                    <a:prstGeom prst="rect">
                      <a:avLst/>
                    </a:prstGeom>
                  </pic:spPr>
                </pic:pic>
              </a:graphicData>
            </a:graphic>
          </wp:inline>
        </w:drawing>
      </w:r>
    </w:p>
    <w:p w14:paraId="577EF387">
      <w:pPr>
        <w:pStyle w:val="3"/>
      </w:pPr>
      <w:r>
        <w:t>提供报告单打印功能。</w:t>
      </w:r>
    </w:p>
    <w:p w14:paraId="27764D39">
      <w:pPr>
        <w:pStyle w:val="3"/>
      </w:pPr>
      <w:r>
        <w:t>提供报告单归档打印功能。</w:t>
      </w:r>
    </w:p>
    <w:p w14:paraId="7EBA47F4">
      <w:pPr>
        <w:pStyle w:val="3"/>
      </w:pPr>
      <w:r>
        <w:t>提供检验结果、报告单的浏览、阅读功能。</w:t>
      </w:r>
    </w:p>
    <w:p w14:paraId="71A8D7B9">
      <w:pPr>
        <w:pStyle w:val="3"/>
      </w:pPr>
      <w:r>
        <w:t>提供结果引用、异常引用、药敏引用功能。</w:t>
      </w:r>
    </w:p>
    <w:p w14:paraId="322AB531">
      <w:pPr>
        <w:pStyle w:val="3"/>
      </w:pPr>
      <w:r>
        <w:t>提供历史检验结果分析功能，可针对糖耐量等项目以汇总分析图形式进行展现。</w:t>
      </w:r>
    </w:p>
    <w:p w14:paraId="250BF0E4">
      <w:pPr>
        <w:pStyle w:val="3"/>
      </w:pPr>
      <w:r>
        <w:t>支持按时间轴形式展现样本操作全过程。</w:t>
      </w:r>
    </w:p>
    <w:p w14:paraId="3D6D3F0F">
      <w:pPr>
        <w:pStyle w:val="6"/>
        <w:numPr>
          <w:ilvl w:val="3"/>
          <w:numId w:val="16"/>
        </w:numPr>
      </w:pPr>
      <w:r>
        <w:rPr>
          <w:rFonts w:hint="eastAsia"/>
        </w:rPr>
        <w:t>自助报告</w:t>
      </w:r>
    </w:p>
    <w:p w14:paraId="7349D928">
      <w:pPr>
        <w:pStyle w:val="3"/>
      </w:pPr>
      <w:r>
        <w:rPr>
          <w:rFonts w:hint="eastAsia" w:asciiTheme="minorEastAsia" w:hAnsiTheme="minorEastAsia" w:eastAsiaTheme="minorEastAsia"/>
        </w:rPr>
        <w:t>具备支持以下功能：</w:t>
      </w:r>
    </w:p>
    <w:p w14:paraId="33A27189">
      <w:pPr>
        <w:pStyle w:val="3"/>
      </w:pPr>
      <w:r>
        <w:t>支持界面集成与数据集成两种实现方式。</w:t>
      </w:r>
    </w:p>
    <w:p w14:paraId="47B4A421">
      <w:pPr>
        <w:pStyle w:val="3"/>
      </w:pPr>
      <w:r>
        <w:t>具有独立自助打印子系统，支持门诊自助打印报告，需支持各种打印机。</w:t>
      </w:r>
    </w:p>
    <w:p w14:paraId="0DFE5C04">
      <w:pPr>
        <w:pStyle w:val="3"/>
      </w:pPr>
      <w:r>
        <w:t>要求可</w:t>
      </w:r>
      <w:r>
        <w:rPr>
          <w:rFonts w:hint="eastAsia"/>
        </w:rPr>
        <w:t>通过</w:t>
      </w:r>
      <w:r>
        <w:t>样本条形码、病人ID号、身份证号或发票号等病人唯一号的扫入或手工录入，然后自动打印已经审核并且未打印过的报告。</w:t>
      </w:r>
    </w:p>
    <w:p w14:paraId="7329F2E9">
      <w:pPr>
        <w:pStyle w:val="3"/>
      </w:pPr>
      <w:r>
        <w:t>提示该病人报告单是否已打印，如果病人发现已经打印过的报告丢失了可以提示到检验科前台补单。</w:t>
      </w:r>
    </w:p>
    <w:p w14:paraId="16A0B78D">
      <w:pPr>
        <w:pStyle w:val="3"/>
      </w:pPr>
      <w:r>
        <w:t>支持自定义界面，包括但不限于：LOGO、背景图片、横屏竖屏显示、键盘样式、操作说明提示、检索框提示内容、项目列表内容、提示语设置等。</w:t>
      </w:r>
    </w:p>
    <w:p w14:paraId="35C09C76">
      <w:pPr>
        <w:pStyle w:val="3"/>
      </w:pPr>
      <w:r>
        <w:t>支持依据自助机IP/MAC地址自定义查询条件，包括但不限于：医疗机构、院区、检验科室、检验单元、就诊类别、诊疗项目、数据范围。</w:t>
      </w:r>
    </w:p>
    <w:p w14:paraId="11954BA0">
      <w:pPr>
        <w:pStyle w:val="3"/>
      </w:pPr>
      <w:r>
        <w:t>自助打印系统可通过夕卜接大屏幕显示，显示出已出结果报告的患者名单，并提醒其自助取结果报告。</w:t>
      </w:r>
    </w:p>
    <w:p w14:paraId="0C7B8B9A">
      <w:pPr>
        <w:pStyle w:val="3"/>
      </w:pPr>
      <w:r>
        <w:t>支持与医院现有的各类自助取报告的设备系统接囗互联。</w:t>
      </w:r>
    </w:p>
    <w:p w14:paraId="3A33CA76">
      <w:pPr>
        <w:pStyle w:val="6"/>
        <w:numPr>
          <w:ilvl w:val="3"/>
          <w:numId w:val="16"/>
        </w:numPr>
      </w:pPr>
      <w:r>
        <w:t>智慧前处理工作站</w:t>
      </w:r>
    </w:p>
    <w:p w14:paraId="31187E52">
      <w:pPr>
        <w:pStyle w:val="3"/>
      </w:pPr>
      <w:r>
        <w:rPr>
          <w:rFonts w:hint="eastAsia" w:asciiTheme="minorEastAsia" w:hAnsiTheme="minorEastAsia" w:eastAsiaTheme="minorEastAsia"/>
        </w:rPr>
        <w:t>具备支持以下功能：</w:t>
      </w:r>
    </w:p>
    <w:p w14:paraId="36C40456">
      <w:pPr>
        <w:pStyle w:val="3"/>
      </w:pPr>
      <w:r>
        <w:t>支持接收单元管理机制，实现了多院区、多检验科室复杂条件下的部署和管理。</w:t>
      </w:r>
    </w:p>
    <w:p w14:paraId="6DC047AA">
      <w:pPr>
        <w:pStyle w:val="3"/>
      </w:pPr>
      <w:r>
        <w:t>通过扫描标本条形码完成对样本的核收，对部分不完全合格标本进行让步接收并作登记，并完成对标本检验费用的确认；对完全不合格标本进行拒收，</w:t>
      </w:r>
    </w:p>
    <w:p w14:paraId="7555EFAF">
      <w:pPr>
        <w:pStyle w:val="3"/>
      </w:pPr>
      <w:r>
        <w:t>并依据国家相关标准作不合格标本登记。</w:t>
      </w:r>
    </w:p>
    <w:p w14:paraId="06C1D274">
      <w:pPr>
        <w:pStyle w:val="3"/>
      </w:pPr>
      <w:r>
        <w:t>对不合格标本作退回处理时，可与临床进行</w:t>
      </w:r>
      <w:r>
        <w:rPr>
          <w:rFonts w:hint="eastAsia"/>
        </w:rPr>
        <w:t>消息</w:t>
      </w:r>
      <w:r>
        <w:t>互动，形成从退回</w:t>
      </w:r>
      <w:r>
        <w:rPr>
          <w:rFonts w:hint="eastAsia"/>
        </w:rPr>
        <w:t>-</w:t>
      </w:r>
      <w:r>
        <w:t>临床确认</w:t>
      </w:r>
      <w:r>
        <w:rPr>
          <w:rFonts w:hint="eastAsia"/>
        </w:rPr>
        <w:t>-</w:t>
      </w:r>
      <w:r>
        <w:t>取</w:t>
      </w:r>
      <w:r>
        <w:rPr>
          <w:rFonts w:hint="eastAsia"/>
        </w:rPr>
        <w:t>消</w:t>
      </w:r>
      <w:r>
        <w:t>执行或重新采集电子化闭环管理。</w:t>
      </w:r>
    </w:p>
    <w:p w14:paraId="24A5E356">
      <w:pPr>
        <w:pStyle w:val="3"/>
      </w:pPr>
      <w:r>
        <w:t>依据诊疗项目的相关属性对流转地错误、接收地错误、不合格标本、重复标本、漏检标本进行有效控制，并依据诊疗项目的TAT时间控制属性对标本送检超时进行预警和报警。</w:t>
      </w:r>
    </w:p>
    <w:p w14:paraId="6158BADA">
      <w:pPr>
        <w:pStyle w:val="3"/>
      </w:pPr>
      <w:r>
        <w:t>具备智能分配功能，依据诊疗项目的实验室检验相关属性，自动对标本进行分类、分样和编号，自动将检验申请生成任务单，并根据任务分配机制，自动生成检验单，如需物理分样则自动生成分样标签，对于检验过程中存在手工记录数据的标本自动生成相应的跟单，有效提高工作效率，有效减少统一样本多处检验错检、漏检等情况的发生。</w:t>
      </w:r>
    </w:p>
    <w:p w14:paraId="5C0C3FF1">
      <w:pPr>
        <w:pStyle w:val="3"/>
      </w:pPr>
      <w:r>
        <w:t>支持自定义样本核查内容，比如已采集未送达、已送出未送达、已送达未接收等样本，便于及时发现异常样本及评估后续样本量。</w:t>
      </w:r>
    </w:p>
    <w:p w14:paraId="362642A0">
      <w:pPr>
        <w:pStyle w:val="3"/>
      </w:pPr>
      <w:r>
        <w:t>按时间轴形式展现样本</w:t>
      </w:r>
      <w:r>
        <w:rPr>
          <w:rFonts w:hint="eastAsia"/>
        </w:rPr>
        <w:t>操作</w:t>
      </w:r>
      <w:r>
        <w:t>全过程。</w:t>
      </w:r>
    </w:p>
    <w:p w14:paraId="03DE9181">
      <w:pPr>
        <w:pStyle w:val="6"/>
        <w:numPr>
          <w:ilvl w:val="3"/>
          <w:numId w:val="16"/>
        </w:numPr>
      </w:pPr>
      <w:r>
        <w:rPr>
          <w:rFonts w:hint="eastAsia"/>
        </w:rPr>
        <w:t>常规检验工作站</w:t>
      </w:r>
    </w:p>
    <w:p w14:paraId="6EC4C702">
      <w:pPr>
        <w:pStyle w:val="3"/>
      </w:pPr>
      <w:r>
        <w:rPr>
          <w:rFonts w:hint="eastAsia" w:asciiTheme="minorEastAsia" w:hAnsiTheme="minorEastAsia" w:eastAsiaTheme="minorEastAsia"/>
        </w:rPr>
        <w:t>具备支持以下功能：</w:t>
      </w:r>
    </w:p>
    <w:p w14:paraId="5115132B">
      <w:pPr>
        <w:pStyle w:val="3"/>
        <w:numPr>
          <w:ilvl w:val="0"/>
          <w:numId w:val="31"/>
        </w:numPr>
        <w:ind w:firstLineChars="0"/>
      </w:pPr>
      <w:r>
        <w:t>支持个性化设置：</w:t>
      </w:r>
    </w:p>
    <w:p w14:paraId="557F90F0">
      <w:pPr>
        <w:pStyle w:val="3"/>
      </w:pPr>
      <w:r>
        <w:t>对样本信息、结果信息、样本列表信息设置</w:t>
      </w:r>
    </w:p>
    <w:p w14:paraId="3C39091F">
      <w:pPr>
        <w:pStyle w:val="3"/>
      </w:pPr>
      <w:r>
        <w:t>对各种样本类别、状态的颜色识别及特效显示（抖动、闪烁）进行自定义</w:t>
      </w:r>
    </w:p>
    <w:p w14:paraId="1E6A5152">
      <w:pPr>
        <w:pStyle w:val="3"/>
      </w:pPr>
      <w:r>
        <w:t>对样本信息开始焦点自定义</w:t>
      </w:r>
    </w:p>
    <w:p w14:paraId="5C0DBA67">
      <w:pPr>
        <w:pStyle w:val="3"/>
      </w:pPr>
      <w:r>
        <w:t>对非每日开展项目进行定义</w:t>
      </w:r>
    </w:p>
    <w:p w14:paraId="7726D365">
      <w:pPr>
        <w:pStyle w:val="3"/>
      </w:pPr>
      <w:r>
        <w:t>对每日仪器操作人员进行定义</w:t>
      </w:r>
    </w:p>
    <w:p w14:paraId="44629701">
      <w:pPr>
        <w:pStyle w:val="3"/>
        <w:numPr>
          <w:ilvl w:val="0"/>
          <w:numId w:val="31"/>
        </w:numPr>
        <w:ind w:firstLineChars="0"/>
      </w:pPr>
      <w:r>
        <w:t>快速切换</w:t>
      </w:r>
    </w:p>
    <w:p w14:paraId="3CBF1086">
      <w:pPr>
        <w:pStyle w:val="3"/>
      </w:pPr>
      <w:r>
        <w:t>支持检验日期快速切换</w:t>
      </w:r>
    </w:p>
    <w:p w14:paraId="6C8B1BFF">
      <w:pPr>
        <w:pStyle w:val="3"/>
      </w:pPr>
      <w:r>
        <w:t>支持检验单元快速切换</w:t>
      </w:r>
    </w:p>
    <w:p w14:paraId="5761750D">
      <w:pPr>
        <w:pStyle w:val="3"/>
      </w:pPr>
      <w:r>
        <w:t>支持检验单元分号段管理</w:t>
      </w:r>
    </w:p>
    <w:p w14:paraId="1037344B">
      <w:pPr>
        <w:pStyle w:val="3"/>
      </w:pPr>
      <w:r>
        <w:t>支持自定义快捷按钮</w:t>
      </w:r>
    </w:p>
    <w:p w14:paraId="5854C48A">
      <w:pPr>
        <w:pStyle w:val="3"/>
      </w:pPr>
      <w:r>
        <w:t>支持自定义右键功能</w:t>
      </w:r>
    </w:p>
    <w:p w14:paraId="72A67174">
      <w:pPr>
        <w:pStyle w:val="3"/>
      </w:pPr>
      <w:r>
        <w:t>支持自定义样本分类快速筛选，支持样本列表自定义两级分类管理，可以以试管架形式展现样本列表，可以汇总列表显小错误区样本</w:t>
      </w:r>
    </w:p>
    <w:p w14:paraId="7D6C376F">
      <w:pPr>
        <w:pStyle w:val="3"/>
        <w:numPr>
          <w:ilvl w:val="0"/>
          <w:numId w:val="31"/>
        </w:numPr>
        <w:ind w:firstLineChars="0"/>
      </w:pPr>
      <w:r>
        <w:t>信息录入&amp;编号</w:t>
      </w:r>
      <w:r>
        <w:drawing>
          <wp:inline distT="0" distB="0" distL="0" distR="0">
            <wp:extent cx="25400" cy="82550"/>
            <wp:effectExtent l="0" t="0" r="0" b="0"/>
            <wp:docPr id="364126" name="Picture 364126"/>
            <wp:cNvGraphicFramePr/>
            <a:graphic xmlns:a="http://schemas.openxmlformats.org/drawingml/2006/main">
              <a:graphicData uri="http://schemas.openxmlformats.org/drawingml/2006/picture">
                <pic:pic xmlns:pic="http://schemas.openxmlformats.org/drawingml/2006/picture">
                  <pic:nvPicPr>
                    <pic:cNvPr id="364126" name="Picture 364126"/>
                    <pic:cNvPicPr/>
                  </pic:nvPicPr>
                  <pic:blipFill>
                    <a:blip r:embed="rId11"/>
                    <a:stretch>
                      <a:fillRect/>
                    </a:stretch>
                  </pic:blipFill>
                  <pic:spPr>
                    <a:xfrm>
                      <a:off x="0" y="0"/>
                      <a:ext cx="25400" cy="82550"/>
                    </a:xfrm>
                    <a:prstGeom prst="rect">
                      <a:avLst/>
                    </a:prstGeom>
                  </pic:spPr>
                </pic:pic>
              </a:graphicData>
            </a:graphic>
          </wp:inline>
        </w:drawing>
      </w:r>
    </w:p>
    <w:p w14:paraId="60F9EC96">
      <w:pPr>
        <w:pStyle w:val="3"/>
      </w:pPr>
      <w:r>
        <w:t>护士站预编号</w:t>
      </w:r>
    </w:p>
    <w:p w14:paraId="306C6B1C">
      <w:pPr>
        <w:pStyle w:val="3"/>
      </w:pPr>
      <w:r>
        <w:t>从门诊采集工作站、前处理工作站自动获取已编号样本信息及项目</w:t>
      </w:r>
    </w:p>
    <w:p w14:paraId="34A816F0">
      <w:pPr>
        <w:pStyle w:val="3"/>
      </w:pPr>
      <w:r>
        <w:t>支持手工编号并扫描样本条形码获取样本信息及本检验单元项目</w:t>
      </w:r>
    </w:p>
    <w:p w14:paraId="3EAD6F10">
      <w:pPr>
        <w:pStyle w:val="3"/>
      </w:pPr>
      <w:r>
        <w:t>支持特定授权下手工编号并根据患者ID获取患者信息，并手工录入样本信息及项目</w:t>
      </w:r>
    </w:p>
    <w:p w14:paraId="0C78C6C1">
      <w:pPr>
        <w:pStyle w:val="3"/>
      </w:pPr>
      <w:r>
        <w:t>支持特定授权下的样本信息全手工录入</w:t>
      </w:r>
    </w:p>
    <w:p w14:paraId="231AD464">
      <w:pPr>
        <w:pStyle w:val="3"/>
      </w:pPr>
      <w:r>
        <w:t>支</w:t>
      </w:r>
      <w:r>
        <w:rPr>
          <w:rFonts w:hint="eastAsia"/>
        </w:rPr>
        <w:t>扫描</w:t>
      </w:r>
      <w:r>
        <w:t>样本条形码信息并获取样本信息及项目，并依据自定义编号规则自动编号，支持同一样本编同组多号，支持非本检验单元项目自动编号</w:t>
      </w:r>
    </w:p>
    <w:p w14:paraId="525630CD">
      <w:pPr>
        <w:pStyle w:val="3"/>
      </w:pPr>
      <w:r>
        <w:t>支持样本上机或结果接收时自动编号录入</w:t>
      </w:r>
    </w:p>
    <w:p w14:paraId="3B5FC44B">
      <w:pPr>
        <w:pStyle w:val="3"/>
      </w:pPr>
      <w:r>
        <w:t>支持样本</w:t>
      </w:r>
      <w:r>
        <w:rPr>
          <w:rFonts w:hint="eastAsia"/>
        </w:rPr>
        <w:t>批</w:t>
      </w:r>
      <w:r>
        <w:t>量接收时进行编号</w:t>
      </w:r>
    </w:p>
    <w:p w14:paraId="32226297">
      <w:pPr>
        <w:pStyle w:val="3"/>
      </w:pPr>
      <w:r>
        <w:t>支持样本管理工</w:t>
      </w:r>
      <w:r>
        <w:rPr>
          <w:rFonts w:hint="eastAsia"/>
        </w:rPr>
        <w:t>作</w:t>
      </w:r>
      <w:r>
        <w:t>站依据检验目的筛选待检样本进行批量编号</w:t>
      </w:r>
    </w:p>
    <w:p w14:paraId="25723008">
      <w:pPr>
        <w:pStyle w:val="3"/>
      </w:pPr>
      <w:r>
        <w:t>支持窗囗检验功能（血糖检验、儿童血常规、白带检验）</w:t>
      </w:r>
    </w:p>
    <w:p w14:paraId="10B4EFDC">
      <w:pPr>
        <w:pStyle w:val="3"/>
        <w:numPr>
          <w:ilvl w:val="0"/>
          <w:numId w:val="31"/>
        </w:numPr>
        <w:ind w:firstLineChars="0"/>
      </w:pPr>
      <w:r>
        <w:t>分析结果接收及手工数据录入</w:t>
      </w:r>
    </w:p>
    <w:p w14:paraId="7C87E538">
      <w:pPr>
        <w:pStyle w:val="3"/>
      </w:pPr>
      <w:r>
        <w:t>支持数字结果、字符结果、图片图形结果、描述性结果</w:t>
      </w:r>
    </w:p>
    <w:p w14:paraId="1866F85A">
      <w:pPr>
        <w:pStyle w:val="3"/>
      </w:pPr>
      <w:r>
        <w:t>同时支持原始结果、报告结果、判断结果、解释结果</w:t>
      </w:r>
    </w:p>
    <w:p w14:paraId="749F09AC">
      <w:pPr>
        <w:pStyle w:val="3"/>
      </w:pPr>
      <w:r>
        <w:t>支持仪器分析数据自动接收，特定项目结果依据设定规则作自动转换</w:t>
      </w:r>
    </w:p>
    <w:p w14:paraId="5CFC2024">
      <w:pPr>
        <w:pStyle w:val="3"/>
      </w:pPr>
      <w:r>
        <w:t>支持图形数据接收、存储和展现</w:t>
      </w:r>
    </w:p>
    <w:p w14:paraId="1423E765">
      <w:pPr>
        <w:pStyle w:val="3"/>
      </w:pPr>
      <w:r>
        <w:t>支持仪器报警信息接收、存储和展现</w:t>
      </w:r>
    </w:p>
    <w:p w14:paraId="3833AFB6">
      <w:pPr>
        <w:pStyle w:val="3"/>
      </w:pPr>
      <w:r>
        <w:t>支持仪器样本报警信息接收、存储和展现</w:t>
      </w:r>
    </w:p>
    <w:p w14:paraId="0460D95E">
      <w:pPr>
        <w:pStyle w:val="3"/>
      </w:pPr>
      <w:r>
        <w:t>仪器项目报警信息接收、存储和展现</w:t>
      </w:r>
    </w:p>
    <w:p w14:paraId="4ED58E3C">
      <w:pPr>
        <w:pStyle w:val="3"/>
      </w:pPr>
      <w:r>
        <w:t>支持原始数据留存</w:t>
      </w:r>
    </w:p>
    <w:p w14:paraId="2EB9358B">
      <w:pPr>
        <w:pStyle w:val="3"/>
      </w:pPr>
      <w:r>
        <w:t>支持糖耐量等组合项目自动合并</w:t>
      </w:r>
    </w:p>
    <w:p w14:paraId="7837ED5D">
      <w:pPr>
        <w:pStyle w:val="3"/>
      </w:pPr>
      <w:r>
        <w:t>支持指定项目接收数据功能</w:t>
      </w:r>
    </w:p>
    <w:p w14:paraId="586191A2">
      <w:pPr>
        <w:pStyle w:val="3"/>
      </w:pPr>
      <w:r>
        <w:t>支持跨天标本数据接收功能</w:t>
      </w:r>
    </w:p>
    <w:p w14:paraId="39A9B3B1">
      <w:pPr>
        <w:pStyle w:val="3"/>
      </w:pPr>
      <w:r>
        <w:t>对单个项目、组合项目、手工复查项目、批量样本等多种方式手工项目及结果录入，并可设定录入结果警示限，对结果有效性进行控制</w:t>
      </w:r>
    </w:p>
    <w:p w14:paraId="386C3ABD">
      <w:pPr>
        <w:pStyle w:val="3"/>
      </w:pPr>
      <w:r>
        <w:t>支持双盲录入</w:t>
      </w:r>
    </w:p>
    <w:p w14:paraId="45D19B4C">
      <w:pPr>
        <w:pStyle w:val="3"/>
      </w:pPr>
      <w:r>
        <w:t>对数据来源有标识</w:t>
      </w:r>
    </w:p>
    <w:p w14:paraId="54531DA9">
      <w:pPr>
        <w:pStyle w:val="3"/>
      </w:pPr>
      <w:r>
        <w:t>根据样本的基本信息，自动匹配项目参考值范围进行高低判断，用</w:t>
      </w:r>
      <w:r>
        <w:rPr>
          <w:rFonts w:hint="eastAsia"/>
        </w:rPr>
        <w:t>标记</w:t>
      </w:r>
      <w:r>
        <w:t>或颜色等手段进行异常提示</w:t>
      </w:r>
    </w:p>
    <w:p w14:paraId="4EA4B87A">
      <w:pPr>
        <w:pStyle w:val="3"/>
      </w:pPr>
      <w:r>
        <w:t>根据参考值自动判断（参考值根据性别、标本种类和年龄不同而不同，年龄可以是岁、月、周、天、小时等形式；可以处理特殊生理指征的参考值）</w:t>
      </w:r>
    </w:p>
    <w:p w14:paraId="351B1460">
      <w:pPr>
        <w:pStyle w:val="3"/>
        <w:numPr>
          <w:ilvl w:val="0"/>
          <w:numId w:val="31"/>
        </w:numPr>
        <w:ind w:firstLineChars="0"/>
      </w:pPr>
      <w:r>
        <w:t>数据处理</w:t>
      </w:r>
    </w:p>
    <w:p w14:paraId="40A6D74F">
      <w:pPr>
        <w:pStyle w:val="3"/>
      </w:pPr>
      <w:r>
        <w:t>支持单样本、多样本整体删除并留痕</w:t>
      </w:r>
    </w:p>
    <w:p w14:paraId="139093CE">
      <w:pPr>
        <w:pStyle w:val="3"/>
      </w:pPr>
      <w:r>
        <w:t>支持样本信息修改并留痕</w:t>
      </w:r>
    </w:p>
    <w:p w14:paraId="2E81BC06">
      <w:pPr>
        <w:pStyle w:val="3"/>
      </w:pPr>
      <w:r>
        <w:t>支持单项目、多项目整体删除并留痕</w:t>
      </w:r>
    </w:p>
    <w:p w14:paraId="1BAED71A">
      <w:pPr>
        <w:pStyle w:val="3"/>
      </w:pPr>
      <w:r>
        <w:t>单个、批量样本信息及结果信息复制或迁移，并留痕</w:t>
      </w:r>
    </w:p>
    <w:p w14:paraId="67EFC73C">
      <w:pPr>
        <w:pStyle w:val="3"/>
        <w:numPr>
          <w:ilvl w:val="0"/>
          <w:numId w:val="31"/>
        </w:numPr>
        <w:ind w:firstLineChars="0"/>
      </w:pPr>
      <w:r>
        <w:t>个体样本（警示）信息</w:t>
      </w:r>
    </w:p>
    <w:p w14:paraId="6433D1D2">
      <w:pPr>
        <w:pStyle w:val="3"/>
      </w:pPr>
      <w:r>
        <w:t>能够显示单个样本的特殊阳性（如HIV阳性）标识</w:t>
      </w:r>
    </w:p>
    <w:p w14:paraId="734FB418">
      <w:pPr>
        <w:pStyle w:val="3"/>
      </w:pPr>
      <w:r>
        <w:t>能够显示单个样本的危急值标识</w:t>
      </w:r>
    </w:p>
    <w:p w14:paraId="33834321">
      <w:pPr>
        <w:pStyle w:val="3"/>
      </w:pPr>
      <w:r>
        <w:t>能够显示单个样本的不合格样本标识</w:t>
      </w:r>
    </w:p>
    <w:p w14:paraId="2832CA7F">
      <w:pPr>
        <w:pStyle w:val="3"/>
      </w:pPr>
      <w:r>
        <w:t>能够显示单个样本的费用状态信息</w:t>
      </w:r>
    </w:p>
    <w:p w14:paraId="3B435FCD">
      <w:pPr>
        <w:pStyle w:val="3"/>
      </w:pPr>
      <w:r>
        <w:t>能够显示单个样本的样本状态信息</w:t>
      </w:r>
    </w:p>
    <w:p w14:paraId="7A8880C8">
      <w:pPr>
        <w:pStyle w:val="3"/>
      </w:pPr>
      <w:r>
        <w:t>能够显示样本的当前位置信息</w:t>
      </w:r>
    </w:p>
    <w:p w14:paraId="23C2DD03">
      <w:pPr>
        <w:pStyle w:val="3"/>
        <w:numPr>
          <w:ilvl w:val="0"/>
          <w:numId w:val="31"/>
        </w:numPr>
        <w:ind w:firstLineChars="0"/>
      </w:pPr>
      <w:r>
        <w:t>分组警示信息</w:t>
      </w:r>
    </w:p>
    <w:p w14:paraId="37D97860">
      <w:pPr>
        <w:pStyle w:val="3"/>
      </w:pPr>
      <w:r>
        <w:t>能够显示分组质控失控警示信息，质控超时未</w:t>
      </w:r>
      <w:r>
        <w:rPr>
          <w:rFonts w:hint="eastAsia"/>
        </w:rPr>
        <w:t>做</w:t>
      </w:r>
      <w:r>
        <w:t>警示信息</w:t>
      </w:r>
    </w:p>
    <w:p w14:paraId="71C7B05D">
      <w:pPr>
        <w:pStyle w:val="3"/>
      </w:pPr>
      <w:r>
        <w:t>能够显示分组样本TAT超限预警及报警等警示信息</w:t>
      </w:r>
    </w:p>
    <w:p w14:paraId="162EA854">
      <w:pPr>
        <w:pStyle w:val="3"/>
      </w:pPr>
      <w:r>
        <w:t>能够显示分组危急值预警、感知超时、报告超时预警、报告超时报警、接报超时报警信息</w:t>
      </w:r>
    </w:p>
    <w:p w14:paraId="5DB48E80">
      <w:pPr>
        <w:pStyle w:val="3"/>
      </w:pPr>
      <w:r>
        <w:t>能够显小分组仪器警示信息</w:t>
      </w:r>
    </w:p>
    <w:p w14:paraId="3A407D32">
      <w:pPr>
        <w:pStyle w:val="3"/>
      </w:pPr>
      <w:r>
        <w:t>能够显示分组特殊提醒信息</w:t>
      </w:r>
    </w:p>
    <w:p w14:paraId="3A19C1BD">
      <w:pPr>
        <w:pStyle w:val="3"/>
        <w:numPr>
          <w:ilvl w:val="0"/>
          <w:numId w:val="31"/>
        </w:numPr>
        <w:ind w:firstLineChars="0"/>
      </w:pPr>
      <w:r>
        <w:t>数据分析及信息</w:t>
      </w:r>
      <w:r>
        <w:rPr>
          <w:rFonts w:hint="eastAsia"/>
        </w:rPr>
        <w:t>浏览</w:t>
      </w:r>
    </w:p>
    <w:p w14:paraId="660641F8">
      <w:pPr>
        <w:pStyle w:val="3"/>
      </w:pPr>
      <w:r>
        <w:t>支持按样本、申请单、报告单对全生命周期所有信息进行浏览（时间轴形式展现）</w:t>
      </w:r>
    </w:p>
    <w:p w14:paraId="6F9FC02B">
      <w:pPr>
        <w:pStyle w:val="3"/>
      </w:pPr>
      <w:r>
        <w:rPr>
          <w:rFonts w:hint="eastAsia"/>
        </w:rPr>
        <w:t>支持</w:t>
      </w:r>
      <w:r>
        <w:t>双屏或带鱼屏双屏联动，副屏内容至少包括．单元质量指标监控、临床信息浏览、样本360、当前患者报告浏览、项目分析、图形图像数据、结果</w:t>
      </w:r>
    </w:p>
    <w:p w14:paraId="34218A39">
      <w:pPr>
        <w:pStyle w:val="3"/>
      </w:pPr>
      <w:r>
        <w:t>支持样本采集源图像浏览</w:t>
      </w:r>
    </w:p>
    <w:p w14:paraId="47120D1B">
      <w:pPr>
        <w:pStyle w:val="3"/>
      </w:pPr>
      <w:r>
        <w:t>支持项目多</w:t>
      </w:r>
      <w:r>
        <w:rPr>
          <w:rFonts w:hint="eastAsia"/>
        </w:rPr>
        <w:t>批次</w:t>
      </w:r>
      <w:r>
        <w:t>检验结果回顾</w:t>
      </w:r>
    </w:p>
    <w:p w14:paraId="738DE57E">
      <w:pPr>
        <w:pStyle w:val="3"/>
      </w:pPr>
      <w:r>
        <w:t>支持单项目动态历史结果分析</w:t>
      </w:r>
    </w:p>
    <w:p w14:paraId="197CFFB8">
      <w:pPr>
        <w:pStyle w:val="3"/>
      </w:pPr>
      <w:r>
        <w:t>支持分组项目均值、SD、百分位数等统计分析</w:t>
      </w:r>
    </w:p>
    <w:p w14:paraId="1F81DC39">
      <w:pPr>
        <w:pStyle w:val="3"/>
      </w:pPr>
      <w:r>
        <w:t>支持同一标本其它样本分析结果浏览</w:t>
      </w:r>
    </w:p>
    <w:p w14:paraId="676BD122">
      <w:pPr>
        <w:pStyle w:val="3"/>
      </w:pPr>
      <w:r>
        <w:t>支持同一患者同</w:t>
      </w:r>
      <w:r>
        <w:rPr>
          <w:rFonts w:hint="eastAsia"/>
        </w:rPr>
        <w:t>批次</w:t>
      </w:r>
      <w:r>
        <w:t>检验标本分析结果浏览</w:t>
      </w:r>
    </w:p>
    <w:p w14:paraId="6A4C452F">
      <w:pPr>
        <w:pStyle w:val="3"/>
      </w:pPr>
      <w:r>
        <w:t>支持同一患者特定项目分析结果浏览</w:t>
      </w:r>
    </w:p>
    <w:p w14:paraId="42B84290">
      <w:pPr>
        <w:pStyle w:val="3"/>
      </w:pPr>
      <w:r>
        <w:t>支持集成第三方360视图或数据集成方式进行临床信息浏览</w:t>
      </w:r>
    </w:p>
    <w:p w14:paraId="65B03E2C">
      <w:pPr>
        <w:pStyle w:val="3"/>
      </w:pPr>
      <w:r>
        <w:t>支持报告单应用记录浏览</w:t>
      </w:r>
    </w:p>
    <w:p w14:paraId="42FAF230">
      <w:pPr>
        <w:pStyle w:val="3"/>
      </w:pPr>
      <w:r>
        <w:t>支持样本信息修改记录浏览</w:t>
      </w:r>
    </w:p>
    <w:p w14:paraId="24C905BA">
      <w:pPr>
        <w:pStyle w:val="3"/>
      </w:pPr>
      <w:r>
        <w:t>支持通讯日志（测试事件、原始结果、位置信息等）浏览</w:t>
      </w:r>
    </w:p>
    <w:p w14:paraId="4A159161">
      <w:pPr>
        <w:pStyle w:val="3"/>
      </w:pPr>
      <w:r>
        <w:t>支持当日未完成标本浏览</w:t>
      </w:r>
    </w:p>
    <w:p w14:paraId="41844C28">
      <w:pPr>
        <w:pStyle w:val="3"/>
      </w:pPr>
      <w:r>
        <w:t>支持住院患者一览表</w:t>
      </w:r>
    </w:p>
    <w:p w14:paraId="57205870">
      <w:pPr>
        <w:pStyle w:val="3"/>
      </w:pPr>
      <w:r>
        <w:t>内嵌计算器</w:t>
      </w:r>
    </w:p>
    <w:p w14:paraId="5AD6735A">
      <w:pPr>
        <w:pStyle w:val="3"/>
        <w:numPr>
          <w:ilvl w:val="0"/>
          <w:numId w:val="31"/>
        </w:numPr>
        <w:ind w:firstLineChars="0"/>
      </w:pPr>
      <w:r>
        <w:t>审核及报告</w:t>
      </w:r>
      <w:r>
        <w:drawing>
          <wp:inline distT="0" distB="0" distL="0" distR="0">
            <wp:extent cx="25400" cy="82550"/>
            <wp:effectExtent l="0" t="0" r="0" b="0"/>
            <wp:docPr id="364129" name="Picture 364129"/>
            <wp:cNvGraphicFramePr/>
            <a:graphic xmlns:a="http://schemas.openxmlformats.org/drawingml/2006/main">
              <a:graphicData uri="http://schemas.openxmlformats.org/drawingml/2006/picture">
                <pic:pic xmlns:pic="http://schemas.openxmlformats.org/drawingml/2006/picture">
                  <pic:nvPicPr>
                    <pic:cNvPr id="364129" name="Picture 364129"/>
                    <pic:cNvPicPr/>
                  </pic:nvPicPr>
                  <pic:blipFill>
                    <a:blip r:embed="rId11"/>
                    <a:stretch>
                      <a:fillRect/>
                    </a:stretch>
                  </pic:blipFill>
                  <pic:spPr>
                    <a:xfrm>
                      <a:off x="0" y="0"/>
                      <a:ext cx="25400" cy="82550"/>
                    </a:xfrm>
                    <a:prstGeom prst="rect">
                      <a:avLst/>
                    </a:prstGeom>
                  </pic:spPr>
                </pic:pic>
              </a:graphicData>
            </a:graphic>
          </wp:inline>
        </w:drawing>
      </w:r>
    </w:p>
    <w:p w14:paraId="171AF983">
      <w:pPr>
        <w:pStyle w:val="3"/>
      </w:pPr>
      <w:r>
        <w:t>检验审核、报告审核、报告发布；并可依据流程设定同步实现报告审核及报告发布，也可设定是否双审或特定项目、特定时间必须双审</w:t>
      </w:r>
    </w:p>
    <w:p w14:paraId="3FAFDC1C">
      <w:pPr>
        <w:pStyle w:val="3"/>
      </w:pPr>
      <w:r>
        <w:t>支持样本锁定功能</w:t>
      </w:r>
    </w:p>
    <w:p w14:paraId="0971DCA5">
      <w:pPr>
        <w:pStyle w:val="3"/>
      </w:pPr>
      <w:r>
        <w:t>支持检验描述性报告</w:t>
      </w:r>
    </w:p>
    <w:p w14:paraId="0E1B1BD7">
      <w:pPr>
        <w:pStyle w:val="3"/>
      </w:pPr>
      <w:r>
        <w:t>支持分步报告</w:t>
      </w:r>
    </w:p>
    <w:p w14:paraId="40F3E446">
      <w:pPr>
        <w:pStyle w:val="3"/>
      </w:pPr>
      <w:r>
        <w:t>支持初步报告</w:t>
      </w:r>
    </w:p>
    <w:p w14:paraId="6AA38771">
      <w:pPr>
        <w:pStyle w:val="3"/>
      </w:pPr>
      <w:r>
        <w:t>支持分级审核</w:t>
      </w:r>
    </w:p>
    <w:p w14:paraId="2F9CC014">
      <w:pPr>
        <w:pStyle w:val="3"/>
      </w:pPr>
      <w:r>
        <w:t>支持报告</w:t>
      </w:r>
      <w:r>
        <w:rPr>
          <w:rFonts w:hint="eastAsia"/>
        </w:rPr>
        <w:t>批准</w:t>
      </w:r>
    </w:p>
    <w:p w14:paraId="1C66D02B">
      <w:pPr>
        <w:pStyle w:val="3"/>
      </w:pPr>
      <w:r>
        <w:t>支持同一患者多样本报告自动合并</w:t>
      </w:r>
    </w:p>
    <w:p w14:paraId="2CAF872D">
      <w:pPr>
        <w:pStyle w:val="3"/>
      </w:pPr>
      <w:r>
        <w:t>在完成报告审核后自动生成PDF报告进行固化</w:t>
      </w:r>
    </w:p>
    <w:p w14:paraId="56959D27">
      <w:pPr>
        <w:pStyle w:val="3"/>
      </w:pPr>
      <w:r>
        <w:t>支持PDF报告预览及打印</w:t>
      </w:r>
    </w:p>
    <w:p w14:paraId="4BC0D8BB">
      <w:pPr>
        <w:pStyle w:val="3"/>
      </w:pPr>
      <w:r>
        <w:t>支持电子签名</w:t>
      </w:r>
    </w:p>
    <w:p w14:paraId="3777658A">
      <w:pPr>
        <w:pStyle w:val="3"/>
      </w:pPr>
      <w:r>
        <w:t>支持电子报告单水印</w:t>
      </w:r>
    </w:p>
    <w:p w14:paraId="7E00B107">
      <w:pPr>
        <w:pStyle w:val="3"/>
      </w:pPr>
      <w:r>
        <w:t>支持外送标本报告复审</w:t>
      </w:r>
    </w:p>
    <w:p w14:paraId="42619B3D">
      <w:pPr>
        <w:pStyle w:val="3"/>
        <w:numPr>
          <w:ilvl w:val="0"/>
          <w:numId w:val="31"/>
        </w:numPr>
        <w:ind w:firstLineChars="0"/>
      </w:pPr>
      <w:r>
        <w:t>自动稀释及自动复查</w:t>
      </w:r>
    </w:p>
    <w:p w14:paraId="1F86A1F7">
      <w:pPr>
        <w:pStyle w:val="3"/>
      </w:pPr>
      <w:r>
        <w:t>与分析设备联动，对超预设项目分析限样本自动稀释，</w:t>
      </w:r>
    </w:p>
    <w:p w14:paraId="0A55D7AA">
      <w:pPr>
        <w:pStyle w:val="3"/>
      </w:pPr>
      <w:r>
        <w:t>与分析设备联动，根据智能审核中的复查规则对样本自动复查，并记录每次复查结果，检验人员可以选择合适的项目分析结果。</w:t>
      </w:r>
    </w:p>
    <w:p w14:paraId="737CE827">
      <w:pPr>
        <w:pStyle w:val="3"/>
        <w:numPr>
          <w:ilvl w:val="0"/>
          <w:numId w:val="31"/>
        </w:numPr>
        <w:ind w:firstLineChars="0"/>
      </w:pPr>
      <w:r>
        <w:t>流程管理</w:t>
      </w:r>
    </w:p>
    <w:p w14:paraId="3F46621A">
      <w:pPr>
        <w:pStyle w:val="3"/>
      </w:pPr>
      <w:r>
        <w:t>可以实现手工计费及二次</w:t>
      </w:r>
      <w:r>
        <w:rPr>
          <w:rFonts w:hint="eastAsia"/>
        </w:rPr>
        <w:t>补</w:t>
      </w:r>
      <w:r>
        <w:t>费</w:t>
      </w:r>
    </w:p>
    <w:p w14:paraId="14242644">
      <w:pPr>
        <w:pStyle w:val="3"/>
      </w:pPr>
      <w:r>
        <w:t>具备分组费用自动核对功能</w:t>
      </w:r>
    </w:p>
    <w:p w14:paraId="11F37269">
      <w:pPr>
        <w:pStyle w:val="3"/>
      </w:pPr>
      <w:r>
        <w:t>具备危急值全过程闭环管理</w:t>
      </w:r>
    </w:p>
    <w:p w14:paraId="53754E30">
      <w:pPr>
        <w:pStyle w:val="3"/>
      </w:pPr>
      <w:r>
        <w:t>内嵌不合格标本全过程闭环管理</w:t>
      </w:r>
    </w:p>
    <w:p w14:paraId="73B50683">
      <w:pPr>
        <w:pStyle w:val="3"/>
      </w:pPr>
      <w:r>
        <w:t>内嵌特殊样本登记管理</w:t>
      </w:r>
    </w:p>
    <w:p w14:paraId="7460FCF6">
      <w:pPr>
        <w:pStyle w:val="3"/>
      </w:pPr>
      <w:r>
        <w:t>具备报告召回全过程闭环管理</w:t>
      </w:r>
    </w:p>
    <w:p w14:paraId="745B84F3">
      <w:pPr>
        <w:pStyle w:val="3"/>
      </w:pPr>
      <w:r>
        <w:t>检验状态调整登记管理</w:t>
      </w:r>
    </w:p>
    <w:p w14:paraId="47324188">
      <w:pPr>
        <w:pStyle w:val="3"/>
      </w:pPr>
      <w:r>
        <w:t>支持标本收藏</w:t>
      </w:r>
    </w:p>
    <w:p w14:paraId="7C8843A8">
      <w:pPr>
        <w:pStyle w:val="3"/>
        <w:numPr>
          <w:ilvl w:val="0"/>
          <w:numId w:val="31"/>
        </w:numPr>
        <w:ind w:firstLineChars="0"/>
      </w:pPr>
      <w:r>
        <w:t>查询及单据</w:t>
      </w:r>
    </w:p>
    <w:p w14:paraId="2FF5D935">
      <w:pPr>
        <w:pStyle w:val="3"/>
      </w:pPr>
      <w:r>
        <w:t>可以自定义模板按照样本各种信息进行单项或组合进行样本查询，并可导出</w:t>
      </w:r>
    </w:p>
    <w:p w14:paraId="0DE1E192">
      <w:pPr>
        <w:pStyle w:val="3"/>
      </w:pPr>
      <w:r>
        <w:t>可以自定义模板按照项目或项目组合进行项目查询，并可导出</w:t>
      </w:r>
    </w:p>
    <w:p w14:paraId="1744FEF3">
      <w:pPr>
        <w:pStyle w:val="3"/>
      </w:pPr>
      <w:r>
        <w:t>项目查询可以自定义分析方案，包含常规检验项目查询和微生物项目查询，一次性加载包含样本、项目结果在内的查询结果，可视化定义查询结果输出格式，支持多级表头</w:t>
      </w:r>
    </w:p>
    <w:p w14:paraId="29EE8D81">
      <w:pPr>
        <w:pStyle w:val="3"/>
      </w:pPr>
      <w:r>
        <w:t>支持危急值查询</w:t>
      </w:r>
    </w:p>
    <w:p w14:paraId="43E1CE7F">
      <w:pPr>
        <w:pStyle w:val="3"/>
      </w:pPr>
      <w:r>
        <w:t>支持不合格标本查询</w:t>
      </w:r>
    </w:p>
    <w:p w14:paraId="16DE6C9D">
      <w:pPr>
        <w:pStyle w:val="3"/>
      </w:pPr>
      <w:r>
        <w:t>支持特殊情况查询</w:t>
      </w:r>
    </w:p>
    <w:p w14:paraId="6C2CBCB7">
      <w:pPr>
        <w:pStyle w:val="3"/>
      </w:pPr>
      <w:r>
        <w:t>报告延时查询</w:t>
      </w:r>
    </w:p>
    <w:p w14:paraId="333E29BD">
      <w:pPr>
        <w:pStyle w:val="3"/>
      </w:pPr>
      <w:r>
        <w:t>支持复查标本查询</w:t>
      </w:r>
    </w:p>
    <w:p w14:paraId="6E1DE5ED">
      <w:pPr>
        <w:pStyle w:val="3"/>
      </w:pPr>
      <w:r>
        <w:t xml:space="preserve">支持收藏标本查询 </w:t>
      </w:r>
    </w:p>
    <w:p w14:paraId="5DA1A94B">
      <w:pPr>
        <w:pStyle w:val="3"/>
      </w:pPr>
      <w:r>
        <w:t>支持召回报告查询</w:t>
      </w:r>
    </w:p>
    <w:p w14:paraId="4CFC3D50">
      <w:pPr>
        <w:pStyle w:val="6"/>
        <w:numPr>
          <w:ilvl w:val="3"/>
          <w:numId w:val="16"/>
        </w:numPr>
      </w:pPr>
      <w:r>
        <w:rPr>
          <w:rFonts w:hint="eastAsia"/>
        </w:rPr>
        <w:t>智能审核</w:t>
      </w:r>
    </w:p>
    <w:p w14:paraId="4A946D00">
      <w:pPr>
        <w:pStyle w:val="3"/>
      </w:pPr>
      <w:r>
        <w:rPr>
          <w:rFonts w:hint="eastAsia" w:asciiTheme="minorEastAsia" w:hAnsiTheme="minorEastAsia" w:eastAsiaTheme="minorEastAsia"/>
        </w:rPr>
        <w:t>具备支持以下功能：</w:t>
      </w:r>
    </w:p>
    <w:p w14:paraId="5EDA66D7">
      <w:pPr>
        <w:pStyle w:val="3"/>
      </w:pPr>
      <w:r>
        <w:t>通过专门的管理页面统一对检验审核规则进行管理，并通过推理机实现检验信息与规则信息的自动匹配计算，并形成自动拦截和拦截规则提示，实现检验智能审核。</w:t>
      </w:r>
    </w:p>
    <w:p w14:paraId="0C856D05">
      <w:pPr>
        <w:pStyle w:val="3"/>
      </w:pPr>
      <w:r>
        <w:t>应用场景包括但不局限于：</w:t>
      </w:r>
      <w:r>
        <w:rPr>
          <w:rFonts w:hint="eastAsia"/>
        </w:rPr>
        <w:t>标记样</w:t>
      </w:r>
      <w:r>
        <w:t>本复查、样本自动复查、结果特殊标识、增加项目、替换项目结果、删除项目、样本镜检复查</w:t>
      </w:r>
      <w:r>
        <w:rPr>
          <w:rFonts w:hint="eastAsia"/>
        </w:rPr>
        <w:t>标记</w:t>
      </w:r>
      <w:r>
        <w:t>、标注样本备注、标注样本性状、提醒信息、</w:t>
      </w:r>
      <w:r>
        <w:rPr>
          <w:rFonts w:hint="eastAsia"/>
        </w:rPr>
        <w:t>标记</w:t>
      </w:r>
      <w:r>
        <w:t>危急值、分步报告</w:t>
      </w:r>
      <w:r>
        <w:rPr>
          <w:rFonts w:hint="eastAsia"/>
        </w:rPr>
        <w:t>标记</w:t>
      </w:r>
      <w:r>
        <w:t>。</w:t>
      </w:r>
    </w:p>
    <w:p w14:paraId="0431B608">
      <w:pPr>
        <w:pStyle w:val="6"/>
        <w:numPr>
          <w:ilvl w:val="3"/>
          <w:numId w:val="16"/>
        </w:numPr>
      </w:pPr>
      <w:r>
        <w:t>室内质控工作站</w:t>
      </w:r>
    </w:p>
    <w:p w14:paraId="1D8A9DA2">
      <w:pPr>
        <w:pStyle w:val="3"/>
      </w:pPr>
      <w:r>
        <w:rPr>
          <w:rFonts w:hint="eastAsia" w:asciiTheme="minorEastAsia" w:hAnsiTheme="minorEastAsia" w:eastAsiaTheme="minorEastAsia"/>
        </w:rPr>
        <w:t>具备支持以下功能：</w:t>
      </w:r>
    </w:p>
    <w:p w14:paraId="7B362D81">
      <w:pPr>
        <w:pStyle w:val="3"/>
      </w:pPr>
      <w:r>
        <w:t>覆盖定量、定性、半定量项目室内质控。</w:t>
      </w:r>
    </w:p>
    <w:p w14:paraId="4080D6D1">
      <w:pPr>
        <w:pStyle w:val="3"/>
      </w:pPr>
      <w:r>
        <w:t>根据仪器设定质控方案，内容包括质控计划、质控项目、水平数、批次、质控参数、判断规则。</w:t>
      </w:r>
    </w:p>
    <w:p w14:paraId="0E223228">
      <w:pPr>
        <w:pStyle w:val="3"/>
      </w:pPr>
      <w:r>
        <w:t>质控计划包括：计划名称、计划开始及结束时间、失控处理时限、质控有效时限、质控方法等。</w:t>
      </w:r>
    </w:p>
    <w:p w14:paraId="0631026C">
      <w:pPr>
        <w:pStyle w:val="3"/>
      </w:pPr>
      <w:r>
        <w:t>质控水平包括：样本号、数据来源、接收方式、质控品</w:t>
      </w:r>
      <w:r>
        <w:rPr>
          <w:rFonts w:hint="eastAsia"/>
        </w:rPr>
        <w:t>批</w:t>
      </w:r>
      <w:r>
        <w:t>号、质控品厂家、质控品</w:t>
      </w:r>
      <w:r>
        <w:rPr>
          <w:rFonts w:hint="eastAsia"/>
        </w:rPr>
        <w:t>批号</w:t>
      </w:r>
      <w:r>
        <w:t>的开始时间、结束时间等。</w:t>
      </w:r>
    </w:p>
    <w:p w14:paraId="612F6DB5">
      <w:pPr>
        <w:pStyle w:val="3"/>
      </w:pPr>
      <w:r>
        <w:t>自定义质控项目的TEa、质量目标、实验室评估CV、</w:t>
      </w:r>
      <w:r>
        <w:rPr>
          <w:rFonts w:hint="eastAsia"/>
        </w:rPr>
        <w:t>o</w:t>
      </w:r>
      <w:r>
        <w:t>值、靶值，并依据西格玛性能验证图选择合适的质控规则。</w:t>
      </w:r>
    </w:p>
    <w:p w14:paraId="68E22FE6">
      <w:pPr>
        <w:pStyle w:val="3"/>
      </w:pPr>
      <w:r>
        <w:t>可设定自动质控策略。</w:t>
      </w:r>
    </w:p>
    <w:p w14:paraId="61C0BCC9">
      <w:pPr>
        <w:pStyle w:val="3"/>
      </w:pPr>
      <w:r>
        <w:t>常用项目质控图至少包括：L-J图、Z</w:t>
      </w:r>
      <w:r>
        <w:rPr>
          <w:rFonts w:hint="eastAsia"/>
        </w:rPr>
        <w:t>-</w:t>
      </w:r>
      <w:r>
        <w:t>分数图、CV图、项目对比分析、可通过差值比较、SDI比较对质控仪器进行对比分析。</w:t>
      </w:r>
    </w:p>
    <w:p w14:paraId="0D8BA695">
      <w:pPr>
        <w:pStyle w:val="3"/>
      </w:pPr>
      <w:r>
        <w:t>实时接收仪器质控数据。</w:t>
      </w:r>
    </w:p>
    <w:p w14:paraId="3557B996">
      <w:pPr>
        <w:pStyle w:val="3"/>
      </w:pPr>
      <w:r>
        <w:t>支持</w:t>
      </w:r>
      <w:r>
        <w:rPr>
          <w:rFonts w:hint="eastAsia"/>
        </w:rPr>
        <w:t>平行</w:t>
      </w:r>
      <w:r>
        <w:t>试验、失控处理、质控报告流程化管理。</w:t>
      </w:r>
    </w:p>
    <w:p w14:paraId="6FBB547A">
      <w:pPr>
        <w:pStyle w:val="3"/>
      </w:pPr>
      <w:r>
        <w:t>支持质控结果与样本结果及报告审核联动。</w:t>
      </w:r>
    </w:p>
    <w:p w14:paraId="0FE8A750">
      <w:pPr>
        <w:pStyle w:val="6"/>
        <w:numPr>
          <w:ilvl w:val="3"/>
          <w:numId w:val="16"/>
        </w:numPr>
      </w:pPr>
      <w:r>
        <w:rPr>
          <w:rFonts w:hint="eastAsia"/>
        </w:rPr>
        <w:t>危急值闭环管理</w:t>
      </w:r>
    </w:p>
    <w:p w14:paraId="0FF63243">
      <w:pPr>
        <w:pStyle w:val="3"/>
      </w:pPr>
      <w:r>
        <w:rPr>
          <w:rFonts w:hint="eastAsia" w:asciiTheme="minorEastAsia" w:hAnsiTheme="minorEastAsia" w:eastAsiaTheme="minorEastAsia"/>
        </w:rPr>
        <w:t>具备支持以下功能：</w:t>
      </w:r>
    </w:p>
    <w:p w14:paraId="27F625B8">
      <w:pPr>
        <w:widowControl/>
        <w:numPr>
          <w:ilvl w:val="0"/>
          <w:numId w:val="32"/>
        </w:numPr>
        <w:ind w:left="0" w:firstLine="480" w:firstLineChars="200"/>
        <w:rPr>
          <w:rFonts w:asciiTheme="minorEastAsia" w:hAnsiTheme="minorEastAsia" w:eastAsiaTheme="minorEastAsia"/>
        </w:rPr>
      </w:pPr>
      <w:r>
        <w:rPr>
          <w:rFonts w:cs="微软雅黑" w:asciiTheme="minorEastAsia" w:hAnsiTheme="minorEastAsia" w:eastAsiaTheme="minorEastAsia"/>
        </w:rPr>
        <w:t>支持实验室对检验危急值的及时处理、处理完毕后对检验危急值及时从网络上报告给临床，以及临床及时对危急值进行回馈后处置。</w:t>
      </w:r>
    </w:p>
    <w:p w14:paraId="41232C37">
      <w:pPr>
        <w:ind w:firstLine="480" w:firstLineChars="200"/>
        <w:rPr>
          <w:rFonts w:asciiTheme="minorEastAsia" w:hAnsiTheme="minorEastAsia" w:eastAsiaTheme="minorEastAsia"/>
        </w:rPr>
      </w:pPr>
      <w:r>
        <w:rPr>
          <w:rFonts w:cs="微软雅黑" w:asciiTheme="minorEastAsia" w:hAnsiTheme="minorEastAsia" w:eastAsiaTheme="minorEastAsia"/>
        </w:rPr>
        <w:t>包含危急值规则设置、预警、感知、复查、报告回馈、处置回馈全过程管理</w:t>
      </w:r>
    </w:p>
    <w:p w14:paraId="0A322B7E">
      <w:pPr>
        <w:ind w:firstLine="480" w:firstLineChars="200"/>
        <w:rPr>
          <w:rFonts w:asciiTheme="minorEastAsia" w:hAnsiTheme="minorEastAsia" w:eastAsiaTheme="minorEastAsia"/>
        </w:rPr>
      </w:pPr>
      <w:r>
        <w:rPr>
          <w:rFonts w:cs="微软雅黑" w:asciiTheme="minorEastAsia" w:hAnsiTheme="minorEastAsia" w:eastAsiaTheme="minorEastAsia"/>
        </w:rPr>
        <w:t>包含感知超时报警、报告超时预警、报告超时报警、回馈超时报警、处置超时报警等警示及处理</w:t>
      </w:r>
    </w:p>
    <w:p w14:paraId="19870F99">
      <w:pPr>
        <w:ind w:firstLine="480" w:firstLineChars="200"/>
        <w:rPr>
          <w:rFonts w:asciiTheme="minorEastAsia" w:hAnsiTheme="minorEastAsia" w:eastAsiaTheme="minorEastAsia"/>
        </w:rPr>
      </w:pPr>
      <w:r>
        <w:rPr>
          <w:rFonts w:cs="微软雅黑" w:asciiTheme="minorEastAsia" w:hAnsiTheme="minorEastAsia" w:eastAsiaTheme="minorEastAsia"/>
        </w:rPr>
        <w:t>包含临床接报超时后检验科电话回报过程登记</w:t>
      </w:r>
    </w:p>
    <w:p w14:paraId="5348BC62">
      <w:pPr>
        <w:widowControl/>
        <w:numPr>
          <w:ilvl w:val="0"/>
          <w:numId w:val="32"/>
        </w:numPr>
        <w:ind w:left="0" w:firstLine="480" w:firstLineChars="200"/>
        <w:rPr>
          <w:rFonts w:asciiTheme="minorEastAsia" w:hAnsiTheme="minorEastAsia" w:eastAsiaTheme="minorEastAsia"/>
        </w:rPr>
      </w:pPr>
      <w:r>
        <w:rPr>
          <w:rFonts w:cs="微软雅黑" w:asciiTheme="minorEastAsia" w:hAnsiTheme="minorEastAsia" w:eastAsiaTheme="minorEastAsia"/>
        </w:rPr>
        <w:t>危急值接报响应等级至少包括：分I（立即）、Il（1 5分钟）、Ill（30分钟）级等多个等级。</w:t>
      </w:r>
    </w:p>
    <w:p w14:paraId="35E24A77">
      <w:pPr>
        <w:widowControl/>
        <w:numPr>
          <w:ilvl w:val="0"/>
          <w:numId w:val="32"/>
        </w:numPr>
        <w:ind w:left="0" w:firstLine="480" w:firstLineChars="200"/>
        <w:rPr>
          <w:rFonts w:asciiTheme="minorEastAsia" w:hAnsiTheme="minorEastAsia" w:eastAsiaTheme="minorEastAsia"/>
        </w:rPr>
      </w:pPr>
      <w:r>
        <w:rPr>
          <w:rFonts w:cs="微软雅黑" w:asciiTheme="minorEastAsia" w:hAnsiTheme="minorEastAsia" w:eastAsiaTheme="minorEastAsia"/>
        </w:rPr>
        <w:t>提供门诊、体检危急值集中地回报；在门诊部设置危急值接收终端，将门诊危急值发送到门诊部，通知门诊部联系患者并亻乍处理登记。</w:t>
      </w:r>
    </w:p>
    <w:p w14:paraId="7899699D">
      <w:pPr>
        <w:widowControl/>
        <w:numPr>
          <w:ilvl w:val="0"/>
          <w:numId w:val="32"/>
        </w:numPr>
        <w:ind w:left="0" w:firstLine="480" w:firstLineChars="200"/>
        <w:rPr>
          <w:rFonts w:asciiTheme="minorEastAsia" w:hAnsiTheme="minorEastAsia" w:eastAsiaTheme="minorEastAsia"/>
        </w:rPr>
      </w:pPr>
      <w:r>
        <w:rPr>
          <w:rFonts w:cs="微软雅黑" w:asciiTheme="minorEastAsia" w:hAnsiTheme="minorEastAsia" w:eastAsiaTheme="minorEastAsia"/>
        </w:rPr>
        <w:t>临床接报通过临床</w:t>
      </w:r>
      <w:r>
        <w:rPr>
          <w:rFonts w:hint="eastAsia" w:cs="微软雅黑" w:asciiTheme="minorEastAsia" w:hAnsiTheme="minorEastAsia" w:eastAsiaTheme="minorEastAsia"/>
        </w:rPr>
        <w:t>消息</w:t>
      </w:r>
      <w:r>
        <w:rPr>
          <w:rFonts w:cs="微软雅黑" w:asciiTheme="minorEastAsia" w:hAnsiTheme="minorEastAsia" w:eastAsiaTheme="minorEastAsia"/>
        </w:rPr>
        <w:t>终端进行显示和处理，如果是一级报警将自动弹出消息窗囗到工作站前端，如果是一、三级报警将以闪烁形式在工作站右下角显示；临床</w:t>
      </w:r>
      <w:r>
        <w:rPr>
          <w:rFonts w:hint="eastAsia" w:cs="微软雅黑" w:asciiTheme="minorEastAsia" w:hAnsiTheme="minorEastAsia" w:eastAsiaTheme="minorEastAsia"/>
        </w:rPr>
        <w:t>消</w:t>
      </w:r>
      <w:r>
        <w:rPr>
          <w:rFonts w:cs="微软雅黑" w:asciiTheme="minorEastAsia" w:hAnsiTheme="minorEastAsia" w:eastAsiaTheme="minorEastAsia"/>
        </w:rPr>
        <w:t>息终端可以直接进行接报／回馈、危急值报告单打印、危急值信息复制等操作，可以对历史危急值进行查询浏览，并可形成危急值清单存档和打印。</w:t>
      </w:r>
    </w:p>
    <w:p w14:paraId="6EA7D29D">
      <w:pPr>
        <w:widowControl/>
        <w:numPr>
          <w:ilvl w:val="0"/>
          <w:numId w:val="32"/>
        </w:numPr>
        <w:ind w:left="0" w:firstLine="480" w:firstLineChars="200"/>
        <w:rPr>
          <w:rFonts w:asciiTheme="minorEastAsia" w:hAnsiTheme="minorEastAsia" w:eastAsiaTheme="minorEastAsia"/>
        </w:rPr>
      </w:pPr>
      <w:r>
        <w:rPr>
          <w:rFonts w:cs="微软雅黑" w:asciiTheme="minorEastAsia" w:hAnsiTheme="minorEastAsia" w:eastAsiaTheme="minorEastAsia"/>
        </w:rPr>
        <w:t>能完整准确记录以下时间及时间差：检验危急值报警时间、检验危急值被感知时间、检验危急值复核完成时间、检验危急值报告时间、临床危急值阅读时间、报警</w:t>
      </w:r>
      <w:r>
        <w:rPr>
          <w:rFonts w:hint="eastAsia" w:cs="微软雅黑" w:asciiTheme="minorEastAsia" w:hAnsiTheme="minorEastAsia" w:eastAsiaTheme="minorEastAsia"/>
        </w:rPr>
        <w:t>-</w:t>
      </w:r>
      <w:r>
        <w:rPr>
          <w:rFonts w:cs="微软雅黑" w:asciiTheme="minorEastAsia" w:hAnsiTheme="minorEastAsia" w:eastAsiaTheme="minorEastAsia"/>
        </w:rPr>
        <w:t>被感知时间差、报警</w:t>
      </w:r>
      <w:r>
        <w:rPr>
          <w:rFonts w:hint="eastAsia" w:cs="微软雅黑" w:asciiTheme="minorEastAsia" w:hAnsiTheme="minorEastAsia" w:eastAsiaTheme="minorEastAsia"/>
        </w:rPr>
        <w:t>-</w:t>
      </w:r>
      <w:r>
        <w:rPr>
          <w:rFonts w:cs="微软雅黑" w:asciiTheme="minorEastAsia" w:hAnsiTheme="minorEastAsia" w:eastAsiaTheme="minorEastAsia"/>
        </w:rPr>
        <w:t>报告时间差、阅读</w:t>
      </w:r>
      <w:r>
        <w:rPr>
          <w:rFonts w:hint="eastAsia" w:cs="微软雅黑" w:asciiTheme="minorEastAsia" w:hAnsiTheme="minorEastAsia" w:eastAsiaTheme="minorEastAsia"/>
        </w:rPr>
        <w:t>-</w:t>
      </w:r>
      <w:r>
        <w:rPr>
          <w:rFonts w:cs="微软雅黑" w:asciiTheme="minorEastAsia" w:hAnsiTheme="minorEastAsia" w:eastAsiaTheme="minorEastAsia"/>
        </w:rPr>
        <w:t>报告时间差。</w:t>
      </w:r>
    </w:p>
    <w:p w14:paraId="2AA87D57">
      <w:pPr>
        <w:widowControl/>
        <w:numPr>
          <w:ilvl w:val="0"/>
          <w:numId w:val="32"/>
        </w:numPr>
        <w:ind w:left="0" w:firstLine="480" w:firstLineChars="200"/>
        <w:rPr>
          <w:rFonts w:asciiTheme="minorEastAsia" w:hAnsiTheme="minorEastAsia" w:eastAsiaTheme="minorEastAsia"/>
        </w:rPr>
      </w:pPr>
      <w:r>
        <w:rPr>
          <w:rFonts w:cs="微软雅黑" w:asciiTheme="minorEastAsia" w:hAnsiTheme="minorEastAsia" w:eastAsiaTheme="minorEastAsia"/>
        </w:rPr>
        <w:t>可根据患者类别、年龄、性别、标本种类、科别、临床诊断、检测仪器、用药、生理周期等来分别设定结果范围、变异范围危急值。</w:t>
      </w:r>
    </w:p>
    <w:p w14:paraId="788F61AA">
      <w:pPr>
        <w:widowControl/>
        <w:numPr>
          <w:ilvl w:val="0"/>
          <w:numId w:val="32"/>
        </w:numPr>
        <w:ind w:left="0" w:firstLine="480" w:firstLineChars="200"/>
        <w:rPr>
          <w:rFonts w:asciiTheme="minorEastAsia" w:hAnsiTheme="minorEastAsia" w:eastAsiaTheme="minorEastAsia"/>
        </w:rPr>
      </w:pPr>
      <w:r>
        <w:rPr>
          <w:rFonts w:cs="微软雅黑" w:asciiTheme="minorEastAsia" w:hAnsiTheme="minorEastAsia" w:eastAsiaTheme="minorEastAsia"/>
        </w:rPr>
        <w:t>支持项目设定危急值周期性报告频率，当结果正常后周期复位。</w:t>
      </w:r>
    </w:p>
    <w:p w14:paraId="152D710C">
      <w:pPr>
        <w:widowControl/>
        <w:numPr>
          <w:ilvl w:val="0"/>
          <w:numId w:val="32"/>
        </w:numPr>
        <w:ind w:left="0" w:firstLine="480" w:firstLineChars="200"/>
        <w:rPr>
          <w:rFonts w:asciiTheme="minorEastAsia" w:hAnsiTheme="minorEastAsia" w:eastAsiaTheme="minorEastAsia"/>
        </w:rPr>
      </w:pPr>
      <w:r>
        <w:rPr>
          <w:rFonts w:cs="微软雅黑" w:asciiTheme="minorEastAsia" w:hAnsiTheme="minorEastAsia" w:eastAsiaTheme="minorEastAsia"/>
        </w:rPr>
        <w:t>支持微生物阳性结果和特殊耐药以危急值形式回报临床。</w:t>
      </w:r>
    </w:p>
    <w:p w14:paraId="6F6950BA">
      <w:pPr>
        <w:widowControl/>
        <w:numPr>
          <w:ilvl w:val="0"/>
          <w:numId w:val="32"/>
        </w:numPr>
        <w:ind w:left="0" w:firstLine="480" w:firstLineChars="200"/>
        <w:rPr>
          <w:rFonts w:asciiTheme="minorEastAsia" w:hAnsiTheme="minorEastAsia" w:eastAsiaTheme="minorEastAsia"/>
        </w:rPr>
      </w:pPr>
      <w:r>
        <w:rPr>
          <w:rFonts w:cs="微软雅黑" w:asciiTheme="minorEastAsia" w:hAnsiTheme="minorEastAsia" w:eastAsiaTheme="minorEastAsia"/>
        </w:rPr>
        <w:t>危急值报告方式多样化，可以通过网络等多种方式进行回报，也可人工判断之后进行回报。</w:t>
      </w:r>
    </w:p>
    <w:p w14:paraId="3DD69686">
      <w:pPr>
        <w:ind w:firstLine="480" w:firstLineChars="200"/>
        <w:rPr>
          <w:rFonts w:asciiTheme="minorEastAsia" w:hAnsiTheme="minorEastAsia" w:eastAsiaTheme="minorEastAsia"/>
        </w:rPr>
      </w:pPr>
      <w:r>
        <w:rPr>
          <w:rFonts w:cs="微软雅黑" w:asciiTheme="minorEastAsia" w:hAnsiTheme="minorEastAsia" w:eastAsiaTheme="minorEastAsia"/>
        </w:rPr>
        <w:t>10）接报模式多样化，可以是门诊病人、门诊办接报，也可以是医生、护士同时接报，也可以是先由护士接报然后医生确认。</w:t>
      </w:r>
    </w:p>
    <w:p w14:paraId="24406E9B">
      <w:pPr>
        <w:ind w:firstLine="480" w:firstLineChars="200"/>
        <w:rPr>
          <w:rFonts w:asciiTheme="minorEastAsia" w:hAnsiTheme="minorEastAsia" w:eastAsiaTheme="minorEastAsia"/>
        </w:rPr>
      </w:pPr>
      <w:r>
        <w:rPr>
          <w:rFonts w:cs="微软雅黑" w:asciiTheme="minorEastAsia" w:hAnsiTheme="minorEastAsia" w:eastAsiaTheme="minorEastAsia"/>
        </w:rPr>
        <w:t>11）仪器分析完成后将数据传送到LIS系统，LIS系统能根据危急值规则对危急值进行预警。</w:t>
      </w:r>
    </w:p>
    <w:p w14:paraId="188C53FB">
      <w:pPr>
        <w:ind w:firstLine="480" w:firstLineChars="200"/>
        <w:rPr>
          <w:rFonts w:asciiTheme="minorEastAsia" w:hAnsiTheme="minorEastAsia" w:eastAsiaTheme="minorEastAsia"/>
        </w:rPr>
      </w:pPr>
      <w:r>
        <w:rPr>
          <w:rFonts w:cs="微软雅黑" w:asciiTheme="minorEastAsia" w:hAnsiTheme="minorEastAsia" w:eastAsiaTheme="minorEastAsia"/>
        </w:rPr>
        <w:t>12）危急值预警信息、超时报警信息均可以通过大屏幕和工作站消息终端进行显示，超时报警形式将以更加强烈形式进行提示。工作站消息终端直接可以进行进一步处理，处理的动</w:t>
      </w:r>
      <w:r>
        <w:rPr>
          <w:rFonts w:hint="eastAsia" w:cs="微软雅黑" w:asciiTheme="minorEastAsia" w:hAnsiTheme="minorEastAsia" w:eastAsiaTheme="minorEastAsia"/>
        </w:rPr>
        <w:t>作</w:t>
      </w:r>
      <w:r>
        <w:rPr>
          <w:rFonts w:cs="微软雅黑" w:asciiTheme="minorEastAsia" w:hAnsiTheme="minorEastAsia" w:eastAsiaTheme="minorEastAsia"/>
        </w:rPr>
        <w:t>包括感知确认、危急值消除、复查、报告、电话报告登记等操</w:t>
      </w:r>
      <w:r>
        <w:rPr>
          <w:rFonts w:hint="eastAsia" w:cs="微软雅黑" w:asciiTheme="minorEastAsia" w:hAnsiTheme="minorEastAsia" w:eastAsiaTheme="minorEastAsia"/>
        </w:rPr>
        <w:t>作</w:t>
      </w:r>
      <w:r>
        <w:rPr>
          <w:rFonts w:cs="微软雅黑" w:asciiTheme="minorEastAsia" w:hAnsiTheme="minorEastAsia" w:eastAsiaTheme="minorEastAsia"/>
        </w:rPr>
        <w:t>。</w:t>
      </w:r>
    </w:p>
    <w:p w14:paraId="5ACD116B">
      <w:pPr>
        <w:pStyle w:val="6"/>
        <w:numPr>
          <w:ilvl w:val="3"/>
          <w:numId w:val="16"/>
        </w:numPr>
      </w:pPr>
      <w:r>
        <w:t>智能报表平台</w:t>
      </w:r>
    </w:p>
    <w:p w14:paraId="75133115">
      <w:pPr>
        <w:pStyle w:val="3"/>
      </w:pPr>
      <w:r>
        <w:rPr>
          <w:rFonts w:hint="eastAsia" w:asciiTheme="minorEastAsia" w:hAnsiTheme="minorEastAsia" w:eastAsiaTheme="minorEastAsia"/>
        </w:rPr>
        <w:t>具备支持以下功能：</w:t>
      </w:r>
    </w:p>
    <w:p w14:paraId="4A42DCE9">
      <w:pPr>
        <w:widowControl/>
        <w:numPr>
          <w:ilvl w:val="0"/>
          <w:numId w:val="33"/>
        </w:numPr>
        <w:ind w:left="0" w:firstLine="480" w:firstLineChars="200"/>
        <w:rPr>
          <w:rFonts w:asciiTheme="minorEastAsia" w:hAnsiTheme="minorEastAsia" w:eastAsiaTheme="minorEastAsia"/>
        </w:rPr>
      </w:pPr>
      <w:r>
        <w:rPr>
          <w:rFonts w:cs="微软雅黑" w:asciiTheme="minorEastAsia" w:hAnsiTheme="minorEastAsia" w:eastAsiaTheme="minorEastAsia"/>
        </w:rPr>
        <w:t>易用性</w:t>
      </w:r>
    </w:p>
    <w:p w14:paraId="73EA0BCF">
      <w:pPr>
        <w:ind w:firstLine="480" w:firstLineChars="200"/>
        <w:rPr>
          <w:rFonts w:asciiTheme="minorEastAsia" w:hAnsiTheme="minorEastAsia" w:eastAsiaTheme="minorEastAsia"/>
        </w:rPr>
      </w:pPr>
      <w:r>
        <w:rPr>
          <w:rFonts w:cs="微软雅黑" w:asciiTheme="minorEastAsia" w:hAnsiTheme="minorEastAsia" w:eastAsiaTheme="minorEastAsia"/>
        </w:rPr>
        <w:t>使用类Excel设计器，简单拖拽即可完成所有数据绑定操作，样式效果所见即所得</w:t>
      </w:r>
    </w:p>
    <w:p w14:paraId="4D57F3F7">
      <w:pPr>
        <w:ind w:firstLine="480" w:firstLineChars="200"/>
        <w:rPr>
          <w:rFonts w:asciiTheme="minorEastAsia" w:hAnsiTheme="minorEastAsia" w:eastAsiaTheme="minorEastAsia"/>
        </w:rPr>
      </w:pPr>
      <w:r>
        <w:rPr>
          <w:rFonts w:cs="微软雅黑" w:asciiTheme="minorEastAsia" w:hAnsiTheme="minorEastAsia" w:eastAsiaTheme="minorEastAsia"/>
        </w:rPr>
        <w:t>提供内置标准数据源，0代码简单勾选即可实现标准数据分析</w:t>
      </w:r>
    </w:p>
    <w:p w14:paraId="4721F4D4">
      <w:pPr>
        <w:widowControl/>
        <w:numPr>
          <w:ilvl w:val="0"/>
          <w:numId w:val="33"/>
        </w:numPr>
        <w:ind w:left="0" w:firstLine="480" w:firstLineChars="200"/>
        <w:rPr>
          <w:rFonts w:asciiTheme="minorEastAsia" w:hAnsiTheme="minorEastAsia" w:eastAsiaTheme="minorEastAsia"/>
        </w:rPr>
      </w:pPr>
      <w:r>
        <w:rPr>
          <w:rFonts w:cs="微软雅黑" w:asciiTheme="minorEastAsia" w:hAnsiTheme="minorEastAsia" w:eastAsiaTheme="minorEastAsia"/>
        </w:rPr>
        <w:t>支持报表内数据分析</w:t>
      </w:r>
    </w:p>
    <w:p w14:paraId="2A6EC2D9">
      <w:pPr>
        <w:ind w:firstLine="480" w:firstLineChars="200"/>
        <w:rPr>
          <w:rFonts w:asciiTheme="minorEastAsia" w:hAnsiTheme="minorEastAsia" w:eastAsiaTheme="minorEastAsia"/>
        </w:rPr>
      </w:pPr>
      <w:r>
        <w:rPr>
          <w:rFonts w:cs="微软雅黑" w:asciiTheme="minorEastAsia" w:hAnsiTheme="minorEastAsia" w:eastAsiaTheme="minorEastAsia"/>
        </w:rPr>
        <w:t>绑定数据内容丰富，可灵活绑定数据并实现交叉表、透视表</w:t>
      </w:r>
    </w:p>
    <w:p w14:paraId="7845CAAB">
      <w:pPr>
        <w:ind w:firstLine="480" w:firstLineChars="200"/>
        <w:rPr>
          <w:rFonts w:asciiTheme="minorEastAsia" w:hAnsiTheme="minorEastAsia" w:eastAsiaTheme="minorEastAsia"/>
        </w:rPr>
      </w:pPr>
      <w:r>
        <w:rPr>
          <w:rFonts w:cs="微软雅黑" w:asciiTheme="minorEastAsia" w:hAnsiTheme="minorEastAsia" w:eastAsiaTheme="minorEastAsia"/>
        </w:rPr>
        <w:t>支持对数据进行丰富的二次计算，包括分组和聚合，execl宏函数等</w:t>
      </w:r>
    </w:p>
    <w:p w14:paraId="52B27557">
      <w:pPr>
        <w:ind w:firstLine="480" w:firstLineChars="200"/>
        <w:rPr>
          <w:rFonts w:asciiTheme="minorEastAsia" w:hAnsiTheme="minorEastAsia" w:eastAsiaTheme="minorEastAsia"/>
        </w:rPr>
      </w:pPr>
      <w:r>
        <w:rPr>
          <w:rFonts w:cs="微软雅黑" w:asciiTheme="minorEastAsia" w:hAnsiTheme="minorEastAsia" w:eastAsiaTheme="minorEastAsia"/>
        </w:rPr>
        <w:t>支持绑定数据同时绑定子报表／自定义网页，点击绑定单元格自动专子报表／自定义网页并传输当前行作为子报表条件</w:t>
      </w:r>
    </w:p>
    <w:p w14:paraId="33F48541">
      <w:pPr>
        <w:widowControl/>
        <w:numPr>
          <w:ilvl w:val="0"/>
          <w:numId w:val="33"/>
        </w:numPr>
        <w:ind w:left="0" w:firstLine="480" w:firstLineChars="200"/>
        <w:rPr>
          <w:rFonts w:asciiTheme="minorEastAsia" w:hAnsiTheme="minorEastAsia" w:eastAsiaTheme="minorEastAsia"/>
        </w:rPr>
      </w:pPr>
      <w:r>
        <w:rPr>
          <w:rFonts w:cs="微软雅黑" w:asciiTheme="minorEastAsia" w:hAnsiTheme="minorEastAsia" w:eastAsiaTheme="minorEastAsia"/>
        </w:rPr>
        <w:t>可视化</w:t>
      </w:r>
    </w:p>
    <w:p w14:paraId="49C631E7">
      <w:pPr>
        <w:ind w:firstLine="480" w:firstLineChars="200"/>
        <w:rPr>
          <w:rFonts w:asciiTheme="minorEastAsia" w:hAnsiTheme="minorEastAsia" w:eastAsiaTheme="minorEastAsia"/>
        </w:rPr>
      </w:pPr>
      <w:r>
        <w:rPr>
          <w:rFonts w:cs="微软雅黑" w:asciiTheme="minorEastAsia" w:hAnsiTheme="minorEastAsia" w:eastAsiaTheme="minorEastAsia"/>
        </w:rPr>
        <w:t>提供常用基础图形类型，例如折线图、柱状图、饼图、散点图、气泡图等，并允许基于基础图形自由调整样式</w:t>
      </w:r>
    </w:p>
    <w:p w14:paraId="2D071F84">
      <w:pPr>
        <w:ind w:firstLine="480" w:firstLineChars="200"/>
        <w:rPr>
          <w:rFonts w:asciiTheme="minorEastAsia" w:hAnsiTheme="minorEastAsia" w:eastAsiaTheme="minorEastAsia"/>
        </w:rPr>
      </w:pPr>
      <w:r>
        <w:rPr>
          <w:rFonts w:cs="微软雅黑" w:asciiTheme="minorEastAsia" w:hAnsiTheme="minorEastAsia" w:eastAsiaTheme="minorEastAsia"/>
        </w:rPr>
        <w:t>图表数据基于报表联动，提供更加生动的数据展示方式</w:t>
      </w:r>
    </w:p>
    <w:p w14:paraId="52E649DF">
      <w:pPr>
        <w:widowControl/>
        <w:numPr>
          <w:ilvl w:val="0"/>
          <w:numId w:val="33"/>
        </w:numPr>
        <w:ind w:left="0" w:firstLine="480" w:firstLineChars="200"/>
        <w:rPr>
          <w:rFonts w:asciiTheme="minorEastAsia" w:hAnsiTheme="minorEastAsia" w:eastAsiaTheme="minorEastAsia"/>
        </w:rPr>
      </w:pPr>
      <w:r>
        <w:rPr>
          <w:rFonts w:cs="微软雅黑" w:asciiTheme="minorEastAsia" w:hAnsiTheme="minorEastAsia" w:eastAsiaTheme="minorEastAsia"/>
        </w:rPr>
        <w:t>报表数据应用</w:t>
      </w:r>
    </w:p>
    <w:p w14:paraId="39304542">
      <w:pPr>
        <w:ind w:firstLine="480" w:firstLineChars="200"/>
        <w:rPr>
          <w:rFonts w:asciiTheme="minorEastAsia" w:hAnsiTheme="minorEastAsia" w:eastAsiaTheme="minorEastAsia"/>
        </w:rPr>
      </w:pPr>
      <w:r>
        <w:rPr>
          <w:rFonts w:cs="微软雅黑" w:asciiTheme="minorEastAsia" w:hAnsiTheme="minorEastAsia" w:eastAsiaTheme="minorEastAsia"/>
        </w:rPr>
        <w:t>支持报表的归档与收藏与导出，可产出pdf, execl等格式</w:t>
      </w:r>
    </w:p>
    <w:p w14:paraId="263AE8F2">
      <w:pPr>
        <w:ind w:firstLine="480" w:firstLineChars="200"/>
        <w:rPr>
          <w:rFonts w:asciiTheme="minorEastAsia" w:hAnsiTheme="minorEastAsia" w:eastAsiaTheme="minorEastAsia"/>
        </w:rPr>
      </w:pPr>
      <w:r>
        <w:rPr>
          <w:rFonts w:cs="微软雅黑" w:asciiTheme="minorEastAsia" w:hAnsiTheme="minorEastAsia" w:eastAsiaTheme="minorEastAsia"/>
        </w:rPr>
        <w:t>支持报表在各种纸张下智能排版，支持</w:t>
      </w:r>
      <w:r>
        <w:rPr>
          <w:rFonts w:hint="eastAsia" w:cs="微软雅黑" w:asciiTheme="minorEastAsia" w:hAnsiTheme="minorEastAsia" w:eastAsiaTheme="minorEastAsia"/>
        </w:rPr>
        <w:t>冻</w:t>
      </w:r>
      <w:r>
        <w:rPr>
          <w:rFonts w:cs="微软雅黑" w:asciiTheme="minorEastAsia" w:hAnsiTheme="minorEastAsia" w:eastAsiaTheme="minorEastAsia"/>
        </w:rPr>
        <w:t>结列，自定义页眉页脚，满足打印</w:t>
      </w:r>
    </w:p>
    <w:p w14:paraId="47950A0C">
      <w:pPr>
        <w:ind w:firstLine="480" w:firstLineChars="200"/>
        <w:rPr>
          <w:rFonts w:asciiTheme="minorEastAsia" w:hAnsiTheme="minorEastAsia" w:eastAsiaTheme="minorEastAsia"/>
        </w:rPr>
      </w:pPr>
      <w:r>
        <w:rPr>
          <w:rFonts w:cs="微软雅黑" w:asciiTheme="minorEastAsia" w:hAnsiTheme="minorEastAsia" w:eastAsiaTheme="minorEastAsia"/>
        </w:rPr>
        <w:t>支持以产品模块+目录形式管理报表，报表基于不同应用设置对应的数据权限，实现干人千面</w:t>
      </w:r>
    </w:p>
    <w:p w14:paraId="4A160968">
      <w:pPr>
        <w:widowControl/>
        <w:numPr>
          <w:ilvl w:val="0"/>
          <w:numId w:val="33"/>
        </w:numPr>
        <w:ind w:left="0" w:firstLine="480" w:firstLineChars="200"/>
        <w:rPr>
          <w:rFonts w:asciiTheme="minorEastAsia" w:hAnsiTheme="minorEastAsia" w:eastAsiaTheme="minorEastAsia"/>
        </w:rPr>
      </w:pPr>
      <w:r>
        <w:rPr>
          <w:rFonts w:cs="微软雅黑" w:asciiTheme="minorEastAsia" w:hAnsiTheme="minorEastAsia" w:eastAsiaTheme="minorEastAsia"/>
        </w:rPr>
        <w:t>支持标准表、自定义SQL、存储过程、API等多种取数方式。</w:t>
      </w:r>
    </w:p>
    <w:p w14:paraId="09BF56CD">
      <w:pPr>
        <w:widowControl/>
        <w:numPr>
          <w:ilvl w:val="0"/>
          <w:numId w:val="33"/>
        </w:numPr>
        <w:ind w:left="0" w:firstLine="480" w:firstLineChars="200"/>
      </w:pPr>
      <w:r>
        <w:rPr>
          <w:rFonts w:cs="微软雅黑" w:asciiTheme="minorEastAsia" w:hAnsiTheme="minorEastAsia" w:eastAsiaTheme="minorEastAsia"/>
        </w:rPr>
        <w:t>基于RBAC的权限分配模式，采用人</w:t>
      </w:r>
      <w:r>
        <w:rPr>
          <w:rFonts w:hint="eastAsia" w:cs="微软雅黑" w:asciiTheme="minorEastAsia" w:hAnsiTheme="minorEastAsia" w:eastAsiaTheme="minorEastAsia"/>
        </w:rPr>
        <w:t>-</w:t>
      </w:r>
      <w:r>
        <w:rPr>
          <w:rFonts w:cs="微软雅黑" w:asciiTheme="minorEastAsia" w:hAnsiTheme="minorEastAsia" w:eastAsiaTheme="minorEastAsia"/>
        </w:rPr>
        <w:t>模块（组）</w:t>
      </w:r>
      <w:r>
        <w:rPr>
          <w:rFonts w:hint="eastAsia" w:cs="微软雅黑" w:asciiTheme="minorEastAsia" w:hAnsiTheme="minorEastAsia" w:eastAsiaTheme="minorEastAsia"/>
        </w:rPr>
        <w:t>-</w:t>
      </w:r>
      <w:r>
        <w:rPr>
          <w:rFonts w:cs="微软雅黑" w:asciiTheme="minorEastAsia" w:hAnsiTheme="minorEastAsia" w:eastAsiaTheme="minorEastAsia"/>
        </w:rPr>
        <w:t>角色模式，覆盖多场景，方便管理海量用户权限。</w:t>
      </w:r>
    </w:p>
    <w:bookmarkEnd w:id="203"/>
    <w:bookmarkEnd w:id="204"/>
    <w:bookmarkEnd w:id="205"/>
    <w:p w14:paraId="49C387BD">
      <w:pPr>
        <w:pStyle w:val="5"/>
        <w:numPr>
          <w:ilvl w:val="2"/>
          <w:numId w:val="16"/>
        </w:numPr>
      </w:pPr>
      <w:bookmarkStart w:id="340" w:name="_Toc202539076"/>
      <w:r>
        <w:rPr>
          <w:rFonts w:hint="eastAsia"/>
        </w:rPr>
        <w:t>区域消毒供应中心</w:t>
      </w:r>
      <w:bookmarkEnd w:id="340"/>
    </w:p>
    <w:p w14:paraId="460E6D59">
      <w:pPr>
        <w:pStyle w:val="3"/>
      </w:pPr>
      <w:r>
        <w:rPr>
          <w:rFonts w:hint="eastAsia" w:asciiTheme="minorEastAsia" w:hAnsiTheme="minorEastAsia" w:eastAsiaTheme="minorEastAsia"/>
        </w:rPr>
        <w:t>具备支持以下功能：</w:t>
      </w:r>
    </w:p>
    <w:p w14:paraId="6B0EC786">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1、执行国家发布的相关强制性卫生行业标准，及二/三级综合医院评审（消毒供应室国家规范2016版）实施细则中追溯管理与持续改进的所有要求，满足中华人民共和国卫生行业标准W</w:t>
      </w:r>
      <w:r>
        <w:rPr>
          <w:rFonts w:asciiTheme="minorEastAsia" w:hAnsiTheme="minorEastAsia" w:eastAsiaTheme="minorEastAsia"/>
          <w:szCs w:val="24"/>
        </w:rPr>
        <w:t>S310-2016</w:t>
      </w:r>
      <w:r>
        <w:rPr>
          <w:rFonts w:hint="eastAsia" w:asciiTheme="minorEastAsia" w:hAnsiTheme="minorEastAsia" w:eastAsiaTheme="minorEastAsia"/>
          <w:szCs w:val="24"/>
        </w:rPr>
        <w:t>《医院消毒供应中心第1部分：管理规范》、《医院消毒供应中心第2部分：清洗消毒及灭菌技术操作规范》、《医院消毒供应中心第3部分：清洗消毒及灭菌效果监测标准》。追溯系统必须包含质量控制模块，对清洗包、灭菌包自动生成抽检软件包，生成Excel表格。</w:t>
      </w:r>
    </w:p>
    <w:p w14:paraId="0E6E251E">
      <w:pPr>
        <w:pStyle w:val="70"/>
        <w:ind w:firstLine="480"/>
        <w:rPr>
          <w:rFonts w:asciiTheme="minorEastAsia" w:hAnsiTheme="minorEastAsia" w:eastAsiaTheme="minorEastAsia"/>
        </w:rPr>
      </w:pPr>
      <w:r>
        <w:rPr>
          <w:rFonts w:hint="eastAsia" w:cs="宋体" w:asciiTheme="minorEastAsia" w:hAnsiTheme="minorEastAsia" w:eastAsiaTheme="minorEastAsia"/>
          <w:lang w:bidi="ar"/>
        </w:rPr>
        <w:t>2、</w:t>
      </w:r>
      <w:r>
        <w:rPr>
          <w:rFonts w:hint="eastAsia" w:asciiTheme="minorEastAsia" w:hAnsiTheme="minorEastAsia" w:eastAsiaTheme="minorEastAsia"/>
        </w:rPr>
        <w:t>系统满足质量监控指标（6项）要求，分别是：1）器械、器具清洗不合格发生率 2）待灭菌包包装完好性不合格率 3）灭菌方式及程序选择错误率 4）湿包发生率 5）职业暴露发生率 6）去污区防护用品使用依从率，支持在线填写、统计、查询、上报。</w:t>
      </w:r>
    </w:p>
    <w:p w14:paraId="5A135469">
      <w:pPr>
        <w:pStyle w:val="70"/>
        <w:ind w:firstLine="480"/>
        <w:rPr>
          <w:rFonts w:cs="宋体" w:asciiTheme="minorEastAsia" w:hAnsiTheme="minorEastAsia" w:eastAsiaTheme="minorEastAsia"/>
          <w:lang w:bidi="ar"/>
        </w:rPr>
      </w:pPr>
      <w:r>
        <w:rPr>
          <w:rFonts w:hint="eastAsia" w:cs="宋体" w:asciiTheme="minorEastAsia" w:hAnsiTheme="minorEastAsia" w:eastAsiaTheme="minorEastAsia"/>
          <w:lang w:bidi="ar"/>
        </w:rPr>
        <w:t>3、系统对突发事件及异常情况的处理：系统应具备数据库安全功能，如备份功能、意外故障数据恢复功能，以保证数据不发生丢失。</w:t>
      </w:r>
    </w:p>
    <w:p w14:paraId="4B828778">
      <w:pPr>
        <w:pStyle w:val="70"/>
        <w:ind w:firstLine="480"/>
        <w:rPr>
          <w:rFonts w:cs="宋体" w:asciiTheme="minorEastAsia" w:hAnsiTheme="minorEastAsia" w:eastAsiaTheme="minorEastAsia"/>
          <w:lang w:bidi="ar"/>
        </w:rPr>
      </w:pPr>
      <w:r>
        <w:rPr>
          <w:rFonts w:cs="宋体" w:asciiTheme="minorEastAsia" w:hAnsiTheme="minorEastAsia" w:eastAsiaTheme="minorEastAsia"/>
          <w:lang w:bidi="ar"/>
        </w:rPr>
        <w:t>4</w:t>
      </w:r>
      <w:r>
        <w:rPr>
          <w:rFonts w:hint="eastAsia" w:cs="宋体" w:asciiTheme="minorEastAsia" w:hAnsiTheme="minorEastAsia" w:eastAsiaTheme="minorEastAsia"/>
          <w:lang w:bidi="ar"/>
        </w:rPr>
        <w:t>、软件开发整体采用B/S架构，便于应用模块的添加、用户端增加，条码须采用条形码码技术，操作简便，界面排版简洁。能对无菌物品供应的全过程进行实时监控，实现物品包相关操作信息的追溯，物品包状态的追踪，设备信息的记录，各项环节不合格信息的统计，成本核算等。全面提升消毒供应中心风险控制及综合管理水平。</w:t>
      </w:r>
    </w:p>
    <w:p w14:paraId="4A6CB6D3">
      <w:pPr>
        <w:pStyle w:val="70"/>
        <w:ind w:firstLine="480"/>
        <w:rPr>
          <w:rFonts w:cs="宋体" w:asciiTheme="minorEastAsia" w:hAnsiTheme="minorEastAsia" w:eastAsiaTheme="minorEastAsia"/>
          <w:lang w:bidi="ar"/>
        </w:rPr>
      </w:pPr>
      <w:r>
        <w:rPr>
          <w:rFonts w:hint="eastAsia" w:cs="宋体" w:asciiTheme="minorEastAsia" w:hAnsiTheme="minorEastAsia" w:eastAsiaTheme="minorEastAsia"/>
          <w:lang w:bidi="ar"/>
        </w:rPr>
        <w:t>5、数据库：同时支持MYSQL或者ORACLE两种数据库优先。</w:t>
      </w:r>
    </w:p>
    <w:p w14:paraId="3C8CBF33">
      <w:pPr>
        <w:pStyle w:val="70"/>
        <w:ind w:firstLine="480"/>
        <w:rPr>
          <w:rFonts w:cs="宋体" w:asciiTheme="minorEastAsia" w:hAnsiTheme="minorEastAsia" w:eastAsiaTheme="minorEastAsia"/>
          <w:lang w:bidi="ar"/>
        </w:rPr>
      </w:pPr>
      <w:r>
        <w:rPr>
          <w:rFonts w:cs="宋体" w:asciiTheme="minorEastAsia" w:hAnsiTheme="minorEastAsia" w:eastAsiaTheme="minorEastAsia"/>
          <w:lang w:bidi="ar"/>
        </w:rPr>
        <w:t>6</w:t>
      </w:r>
      <w:r>
        <w:rPr>
          <w:rFonts w:hint="eastAsia" w:cs="宋体" w:asciiTheme="minorEastAsia" w:hAnsiTheme="minorEastAsia" w:eastAsiaTheme="minorEastAsia"/>
          <w:lang w:bidi="ar"/>
        </w:rPr>
        <w:t>、支持与清洗及灭菌设备的对接，在设备厂家开放其设备接口并提供设备数据以数据库视图、XML、TXT等形式提供时，系统可实时显示设备数据信息；设备厂家不开放设备接口数据时，支持高拍仪上传保存（后期新增设备或者后期设备厂家开发端口，中标人不得收取接口费用）。</w:t>
      </w:r>
    </w:p>
    <w:p w14:paraId="3E04EC42">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7、支持医院“一院多区”一体化管理，满足本院及分院的业务管理的需要，各院区间数据信息无缝衔接，实时共享。</w:t>
      </w:r>
    </w:p>
    <w:p w14:paraId="50B49DF1">
      <w:pPr>
        <w:pStyle w:val="70"/>
        <w:ind w:firstLine="480"/>
        <w:rPr>
          <w:rFonts w:cs="宋体" w:asciiTheme="minorEastAsia" w:hAnsiTheme="minorEastAsia" w:eastAsiaTheme="minorEastAsia"/>
          <w:lang w:bidi="ar"/>
        </w:rPr>
      </w:pPr>
      <w:r>
        <w:rPr>
          <w:rFonts w:cs="宋体" w:asciiTheme="minorEastAsia" w:hAnsiTheme="minorEastAsia" w:eastAsiaTheme="minorEastAsia"/>
          <w:lang w:bidi="ar"/>
        </w:rPr>
        <w:t>8</w:t>
      </w:r>
      <w:r>
        <w:rPr>
          <w:rFonts w:hint="eastAsia" w:cs="宋体" w:asciiTheme="minorEastAsia" w:hAnsiTheme="minorEastAsia" w:eastAsiaTheme="minorEastAsia"/>
          <w:lang w:bidi="ar"/>
        </w:rPr>
        <w:t>、系统支持接入医院现有HIS、集成平台等系统的接口，并保证对接正常进行，满足和HIS或集成平台等系统完整集成，达到信息共享、数据一致。</w:t>
      </w:r>
    </w:p>
    <w:p w14:paraId="2F67CB0A">
      <w:pPr>
        <w:ind w:firstLine="482" w:firstLineChars="200"/>
        <w:rPr>
          <w:rFonts w:asciiTheme="minorEastAsia" w:hAnsiTheme="minorEastAsia" w:eastAsiaTheme="minorEastAsia"/>
          <w:b/>
          <w:bCs/>
          <w:szCs w:val="24"/>
        </w:rPr>
      </w:pPr>
      <w:r>
        <w:rPr>
          <w:rFonts w:hint="eastAsia" w:asciiTheme="minorEastAsia" w:hAnsiTheme="minorEastAsia" w:eastAsiaTheme="minorEastAsia"/>
          <w:b/>
          <w:bCs/>
          <w:szCs w:val="24"/>
        </w:rPr>
        <w:t>9、回收清洗环节</w:t>
      </w:r>
    </w:p>
    <w:p w14:paraId="495C6303">
      <w:pPr>
        <w:ind w:firstLine="480" w:firstLineChars="200"/>
        <w:rPr>
          <w:rFonts w:asciiTheme="minorEastAsia" w:hAnsiTheme="minorEastAsia" w:eastAsiaTheme="minorEastAsia"/>
          <w:szCs w:val="24"/>
        </w:rPr>
      </w:pPr>
      <w:r>
        <w:rPr>
          <w:rFonts w:asciiTheme="minorEastAsia" w:hAnsiTheme="minorEastAsia" w:eastAsiaTheme="minorEastAsia"/>
          <w:szCs w:val="24"/>
        </w:rPr>
        <w:t>9.1</w:t>
      </w:r>
      <w:r>
        <w:rPr>
          <w:rFonts w:hint="eastAsia" w:asciiTheme="minorEastAsia" w:hAnsiTheme="minorEastAsia" w:eastAsiaTheme="minorEastAsia"/>
          <w:szCs w:val="24"/>
        </w:rPr>
        <w:t>、支持正常包、感染包、过期包、借包、破损包的分类回收；支持感染包、外来器械包回收的智能提醒。</w:t>
      </w:r>
    </w:p>
    <w:p w14:paraId="6DE25E59">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针对特殊感染包，系统要提醒回收人员走特殊感染包流程。</w:t>
      </w:r>
    </w:p>
    <w:p w14:paraId="3F4073D1">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支持物品和包扫码回收，无条码包的回收登记，并支持丢失器械的登记以及回收数据采集。</w:t>
      </w:r>
    </w:p>
    <w:p w14:paraId="1982BC17">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支持拼音首字母查找物品包。针对回收有疑问的包，支持显示包内器械明细，图片，数量等。</w:t>
      </w:r>
    </w:p>
    <w:p w14:paraId="08973D86">
      <w:pPr>
        <w:ind w:firstLine="480" w:firstLineChars="200"/>
        <w:rPr>
          <w:rFonts w:asciiTheme="minorEastAsia" w:hAnsiTheme="minorEastAsia" w:eastAsiaTheme="minorEastAsia"/>
          <w:szCs w:val="24"/>
        </w:rPr>
      </w:pPr>
      <w:r>
        <w:rPr>
          <w:rFonts w:hint="eastAsia" w:cs="宋体" w:asciiTheme="minorEastAsia" w:hAnsiTheme="minorEastAsia" w:eastAsiaTheme="minorEastAsia"/>
          <w:szCs w:val="24"/>
          <w:lang w:bidi="ar"/>
        </w:rPr>
        <w:t>9</w:t>
      </w:r>
      <w:r>
        <w:rPr>
          <w:rFonts w:cs="宋体" w:asciiTheme="minorEastAsia" w:hAnsiTheme="minorEastAsia" w:eastAsiaTheme="minorEastAsia"/>
          <w:szCs w:val="24"/>
          <w:lang w:bidi="ar"/>
        </w:rPr>
        <w:t>.</w:t>
      </w:r>
      <w:r>
        <w:rPr>
          <w:rFonts w:hint="eastAsia" w:asciiTheme="minorEastAsia" w:hAnsiTheme="minorEastAsia" w:eastAsiaTheme="minorEastAsia"/>
          <w:szCs w:val="24"/>
        </w:rPr>
        <w:t>2、系统具备外来器械（供货公司）的登记管理界面，外来器械厂家送器械包时，须携带唯一标识（包图片或表格数据），还需提供清洗/灭菌注意事项；二次回收时，须提醒回收人员判别此包是否继续使用。</w:t>
      </w:r>
    </w:p>
    <w:p w14:paraId="5F8BA750">
      <w:pPr>
        <w:ind w:firstLine="480" w:firstLineChars="200"/>
        <w:rPr>
          <w:rFonts w:asciiTheme="minorEastAsia" w:hAnsiTheme="minorEastAsia" w:eastAsiaTheme="minorEastAsia"/>
          <w:szCs w:val="24"/>
        </w:rPr>
      </w:pPr>
      <w:r>
        <w:rPr>
          <w:rFonts w:hint="eastAsia" w:cs="宋体" w:asciiTheme="minorEastAsia" w:hAnsiTheme="minorEastAsia" w:eastAsiaTheme="minorEastAsia"/>
          <w:szCs w:val="24"/>
          <w:lang w:bidi="ar"/>
        </w:rPr>
        <w:t>9</w:t>
      </w:r>
      <w:r>
        <w:rPr>
          <w:rFonts w:cs="宋体" w:asciiTheme="minorEastAsia" w:hAnsiTheme="minorEastAsia" w:eastAsiaTheme="minorEastAsia"/>
          <w:szCs w:val="24"/>
          <w:lang w:bidi="ar"/>
        </w:rPr>
        <w:t>.</w:t>
      </w:r>
      <w:r>
        <w:rPr>
          <w:rFonts w:hint="eastAsia" w:asciiTheme="minorEastAsia" w:hAnsiTheme="minorEastAsia" w:eastAsiaTheme="minorEastAsia"/>
          <w:szCs w:val="24"/>
        </w:rPr>
        <w:t>3、支持清洗设备每日提醒做日常维护，提高清洗质量。</w:t>
      </w:r>
    </w:p>
    <w:p w14:paraId="7D415A13">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9</w:t>
      </w:r>
      <w:r>
        <w:rPr>
          <w:rFonts w:asciiTheme="minorEastAsia" w:hAnsiTheme="minorEastAsia" w:eastAsiaTheme="minorEastAsia"/>
          <w:szCs w:val="24"/>
        </w:rPr>
        <w:t>.4</w:t>
      </w:r>
      <w:r>
        <w:rPr>
          <w:rFonts w:hint="eastAsia" w:asciiTheme="minorEastAsia" w:hAnsiTheme="minorEastAsia" w:eastAsiaTheme="minorEastAsia"/>
          <w:szCs w:val="24"/>
        </w:rPr>
        <w:t>、通过扫描设备记录清洗物品、清洗人员、检查人员等。</w:t>
      </w:r>
    </w:p>
    <w:p w14:paraId="6C2EA514">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9</w:t>
      </w:r>
      <w:r>
        <w:rPr>
          <w:rFonts w:asciiTheme="minorEastAsia" w:hAnsiTheme="minorEastAsia" w:eastAsiaTheme="minorEastAsia"/>
          <w:szCs w:val="24"/>
        </w:rPr>
        <w:t>.5</w:t>
      </w:r>
      <w:r>
        <w:rPr>
          <w:rFonts w:hint="eastAsia" w:asciiTheme="minorEastAsia" w:hAnsiTheme="minorEastAsia" w:eastAsiaTheme="minorEastAsia"/>
          <w:szCs w:val="24"/>
        </w:rPr>
        <w:t>、支持清洗方式错误系统可自动拦截并提醒，支持智能语音提示，如全自动清洗机清洗程序选择错误、精密器械用超声机清洗时的警示提醒（需要单独维护器械包注意事项，使用方可以自行编辑提示），主动规避操作不当带来的风险。</w:t>
      </w:r>
    </w:p>
    <w:p w14:paraId="6BD0BE6D">
      <w:pPr>
        <w:ind w:firstLine="480" w:firstLineChars="200"/>
        <w:rPr>
          <w:rFonts w:asciiTheme="minorEastAsia" w:hAnsiTheme="minorEastAsia" w:eastAsiaTheme="minorEastAsia"/>
          <w:szCs w:val="24"/>
        </w:rPr>
      </w:pPr>
      <w:r>
        <w:rPr>
          <w:rFonts w:asciiTheme="minorEastAsia" w:hAnsiTheme="minorEastAsia" w:eastAsiaTheme="minorEastAsia"/>
          <w:szCs w:val="24"/>
        </w:rPr>
        <w:t>9.6</w:t>
      </w:r>
      <w:r>
        <w:rPr>
          <w:rFonts w:hint="eastAsia" w:asciiTheme="minorEastAsia" w:hAnsiTheme="minorEastAsia" w:eastAsiaTheme="minorEastAsia"/>
          <w:szCs w:val="24"/>
        </w:rPr>
        <w:t>、支持机器清洗过程的记录：支持物品包清洗智能分类提示，每批次关联记录清洗环节工序所有信息，包含清洗责任人员、网篮、清洗设备、开始时间、结束时间、清洗步骤、清洗器械等信息，支持双人审核机制，记录异常及处理结果。支持清洗机数据采集，实时记录清洗时间、清洗温度(须硬件厂家开放接口，配合做对接)，设备不开放端口的数据，支持电子拍照留存。</w:t>
      </w:r>
    </w:p>
    <w:p w14:paraId="61AFEACE">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9</w:t>
      </w:r>
      <w:r>
        <w:rPr>
          <w:rFonts w:asciiTheme="minorEastAsia" w:hAnsiTheme="minorEastAsia" w:eastAsiaTheme="minorEastAsia"/>
          <w:szCs w:val="24"/>
        </w:rPr>
        <w:t>.7</w:t>
      </w:r>
      <w:r>
        <w:rPr>
          <w:rFonts w:hint="eastAsia" w:asciiTheme="minorEastAsia" w:hAnsiTheme="minorEastAsia" w:eastAsiaTheme="minorEastAsia"/>
          <w:szCs w:val="24"/>
        </w:rPr>
        <w:t>、支持手工清洗过程的记录；支持无清洗登记（流程从配包开始）。</w:t>
      </w:r>
    </w:p>
    <w:p w14:paraId="29F95B18">
      <w:pPr>
        <w:ind w:firstLine="480" w:firstLineChars="200"/>
        <w:rPr>
          <w:rFonts w:asciiTheme="minorEastAsia" w:hAnsiTheme="minorEastAsia" w:eastAsiaTheme="minorEastAsia"/>
          <w:szCs w:val="24"/>
        </w:rPr>
      </w:pPr>
      <w:r>
        <w:rPr>
          <w:rFonts w:hint="eastAsia" w:cs="宋体" w:asciiTheme="minorEastAsia" w:hAnsiTheme="minorEastAsia" w:eastAsiaTheme="minorEastAsia"/>
          <w:szCs w:val="24"/>
          <w:lang w:bidi="ar"/>
        </w:rPr>
        <w:t>9</w:t>
      </w:r>
      <w:r>
        <w:rPr>
          <w:rFonts w:cs="宋体" w:asciiTheme="minorEastAsia" w:hAnsiTheme="minorEastAsia" w:eastAsiaTheme="minorEastAsia"/>
          <w:szCs w:val="24"/>
          <w:lang w:bidi="ar"/>
        </w:rPr>
        <w:t>.</w:t>
      </w:r>
      <w:r>
        <w:rPr>
          <w:rFonts w:asciiTheme="minorEastAsia" w:hAnsiTheme="minorEastAsia" w:eastAsiaTheme="minorEastAsia"/>
          <w:szCs w:val="24"/>
        </w:rPr>
        <w:t>8</w:t>
      </w:r>
      <w:r>
        <w:rPr>
          <w:rFonts w:hint="eastAsia" w:asciiTheme="minorEastAsia" w:hAnsiTheme="minorEastAsia" w:eastAsiaTheme="minorEastAsia"/>
          <w:szCs w:val="24"/>
        </w:rPr>
        <w:t>、系统具备清洗审核界面，针对清洗有问题的器械包支持反洗操作，并在配包界面挂起。可对不合格器械进行二次清洗并留有痕迹可追溯，可统计生成报表。</w:t>
      </w:r>
    </w:p>
    <w:p w14:paraId="6AE06F6C">
      <w:pPr>
        <w:ind w:firstLine="480" w:firstLineChars="200"/>
        <w:rPr>
          <w:rFonts w:asciiTheme="minorEastAsia" w:hAnsiTheme="minorEastAsia" w:eastAsiaTheme="minorEastAsia"/>
          <w:szCs w:val="24"/>
        </w:rPr>
      </w:pPr>
      <w:r>
        <w:rPr>
          <w:rFonts w:hint="eastAsia" w:cs="宋体" w:asciiTheme="minorEastAsia" w:hAnsiTheme="minorEastAsia" w:eastAsiaTheme="minorEastAsia"/>
          <w:szCs w:val="24"/>
          <w:lang w:bidi="ar"/>
        </w:rPr>
        <w:t>9</w:t>
      </w:r>
      <w:r>
        <w:rPr>
          <w:rFonts w:cs="宋体" w:asciiTheme="minorEastAsia" w:hAnsiTheme="minorEastAsia" w:eastAsiaTheme="minorEastAsia"/>
          <w:szCs w:val="24"/>
          <w:lang w:bidi="ar"/>
        </w:rPr>
        <w:t>.</w:t>
      </w:r>
      <w:r>
        <w:rPr>
          <w:rFonts w:asciiTheme="minorEastAsia" w:hAnsiTheme="minorEastAsia" w:eastAsiaTheme="minorEastAsia"/>
          <w:szCs w:val="24"/>
        </w:rPr>
        <w:t>9</w:t>
      </w:r>
      <w:r>
        <w:rPr>
          <w:rFonts w:hint="eastAsia" w:asciiTheme="minorEastAsia" w:hAnsiTheme="minorEastAsia" w:eastAsiaTheme="minorEastAsia"/>
          <w:szCs w:val="24"/>
        </w:rPr>
        <w:t>、清洗审核环节，系统支持提醒外来物品归还信息，便于外来器械归还于厂家。</w:t>
      </w:r>
    </w:p>
    <w:p w14:paraId="46703FB7">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9</w:t>
      </w:r>
      <w:r>
        <w:rPr>
          <w:rFonts w:asciiTheme="minorEastAsia" w:hAnsiTheme="minorEastAsia" w:eastAsiaTheme="minorEastAsia"/>
          <w:szCs w:val="24"/>
        </w:rPr>
        <w:t>.10</w:t>
      </w:r>
      <w:r>
        <w:rPr>
          <w:rFonts w:hint="eastAsia" w:asciiTheme="minorEastAsia" w:hAnsiTheme="minorEastAsia" w:eastAsiaTheme="minorEastAsia"/>
          <w:szCs w:val="24"/>
        </w:rPr>
        <w:t>、扫描清洗机号或网篮条码对清洗质量进行批量或单独登记，支持清洗凭据上传系统。存在清洗不合格情况时，可记录包内器械不合格具体原因。</w:t>
      </w:r>
    </w:p>
    <w:p w14:paraId="23959C43">
      <w:pPr>
        <w:ind w:firstLine="480" w:firstLineChars="200"/>
        <w:rPr>
          <w:rFonts w:asciiTheme="minorEastAsia" w:hAnsiTheme="minorEastAsia" w:eastAsiaTheme="minorEastAsia"/>
          <w:szCs w:val="24"/>
        </w:rPr>
      </w:pPr>
      <w:r>
        <w:rPr>
          <w:rFonts w:hint="eastAsia" w:cs="宋体" w:asciiTheme="minorEastAsia" w:hAnsiTheme="minorEastAsia" w:eastAsiaTheme="minorEastAsia"/>
          <w:szCs w:val="24"/>
          <w:lang w:bidi="ar"/>
        </w:rPr>
        <w:t>9</w:t>
      </w:r>
      <w:r>
        <w:rPr>
          <w:rFonts w:cs="宋体" w:asciiTheme="minorEastAsia" w:hAnsiTheme="minorEastAsia" w:eastAsiaTheme="minorEastAsia"/>
          <w:szCs w:val="24"/>
          <w:lang w:bidi="ar"/>
        </w:rPr>
        <w:t>.</w:t>
      </w:r>
      <w:r>
        <w:rPr>
          <w:rFonts w:asciiTheme="minorEastAsia" w:hAnsiTheme="minorEastAsia" w:eastAsiaTheme="minorEastAsia"/>
          <w:szCs w:val="24"/>
        </w:rPr>
        <w:t>11</w:t>
      </w:r>
      <w:r>
        <w:rPr>
          <w:rFonts w:hint="eastAsia" w:asciiTheme="minorEastAsia" w:hAnsiTheme="minorEastAsia" w:eastAsiaTheme="minorEastAsia"/>
          <w:szCs w:val="24"/>
        </w:rPr>
        <w:t>、支持随机做清洗抽检，并提供清洗质检界面，能进行统计分析。</w:t>
      </w:r>
    </w:p>
    <w:p w14:paraId="705FB80E">
      <w:pPr>
        <w:ind w:firstLine="482" w:firstLineChars="200"/>
        <w:rPr>
          <w:rFonts w:asciiTheme="minorEastAsia" w:hAnsiTheme="minorEastAsia" w:eastAsiaTheme="minorEastAsia"/>
          <w:b/>
          <w:bCs/>
          <w:szCs w:val="24"/>
        </w:rPr>
      </w:pPr>
      <w:r>
        <w:rPr>
          <w:rFonts w:hint="eastAsia" w:asciiTheme="minorEastAsia" w:hAnsiTheme="minorEastAsia" w:eastAsiaTheme="minorEastAsia"/>
          <w:b/>
          <w:bCs/>
          <w:szCs w:val="24"/>
        </w:rPr>
        <w:t>1</w:t>
      </w:r>
      <w:r>
        <w:rPr>
          <w:rFonts w:asciiTheme="minorEastAsia" w:hAnsiTheme="minorEastAsia" w:eastAsiaTheme="minorEastAsia"/>
          <w:b/>
          <w:bCs/>
          <w:szCs w:val="24"/>
        </w:rPr>
        <w:t>0</w:t>
      </w:r>
      <w:r>
        <w:rPr>
          <w:rFonts w:hint="eastAsia" w:asciiTheme="minorEastAsia" w:hAnsiTheme="minorEastAsia" w:eastAsiaTheme="minorEastAsia"/>
          <w:b/>
          <w:bCs/>
          <w:szCs w:val="24"/>
        </w:rPr>
        <w:t>、配包环节</w:t>
      </w:r>
    </w:p>
    <w:p w14:paraId="2242EFD2">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1</w:t>
      </w:r>
      <w:r>
        <w:rPr>
          <w:rFonts w:asciiTheme="minorEastAsia" w:hAnsiTheme="minorEastAsia" w:eastAsiaTheme="minorEastAsia"/>
          <w:szCs w:val="24"/>
        </w:rPr>
        <w:t>0.1</w:t>
      </w:r>
      <w:r>
        <w:rPr>
          <w:rFonts w:hint="eastAsia" w:asciiTheme="minorEastAsia" w:hAnsiTheme="minorEastAsia" w:eastAsiaTheme="minorEastAsia"/>
          <w:szCs w:val="24"/>
        </w:rPr>
        <w:t>、系统界面图文并茂，支持常规包、手术/专科器械包、临时包、敷料包、特殊包配包管理。</w:t>
      </w:r>
    </w:p>
    <w:p w14:paraId="2715CFAB">
      <w:pPr>
        <w:ind w:firstLine="480" w:firstLineChars="200"/>
        <w:rPr>
          <w:rFonts w:asciiTheme="minorEastAsia" w:hAnsiTheme="minorEastAsia" w:eastAsiaTheme="minorEastAsia"/>
          <w:szCs w:val="24"/>
        </w:rPr>
      </w:pPr>
      <w:r>
        <w:rPr>
          <w:rFonts w:asciiTheme="minorEastAsia" w:hAnsiTheme="minorEastAsia" w:eastAsiaTheme="minorEastAsia"/>
          <w:szCs w:val="24"/>
        </w:rPr>
        <w:t>10.2</w:t>
      </w:r>
      <w:r>
        <w:rPr>
          <w:rFonts w:hint="eastAsia" w:asciiTheme="minorEastAsia" w:hAnsiTheme="minorEastAsia" w:eastAsiaTheme="minorEastAsia"/>
          <w:szCs w:val="24"/>
        </w:rPr>
        <w:t>、系统支持多元化配包，实时记录包装人员、审核人员、包装日期和时间等；支持配包物品图片/视频显示或显示包中物品的种类、数量等。</w:t>
      </w:r>
    </w:p>
    <w:p w14:paraId="3886A09A">
      <w:pPr>
        <w:ind w:firstLine="480" w:firstLineChars="200"/>
        <w:rPr>
          <w:rFonts w:asciiTheme="minorEastAsia" w:hAnsiTheme="minorEastAsia" w:eastAsiaTheme="minorEastAsia"/>
          <w:szCs w:val="24"/>
        </w:rPr>
      </w:pPr>
      <w:r>
        <w:rPr>
          <w:rFonts w:asciiTheme="minorEastAsia" w:hAnsiTheme="minorEastAsia" w:eastAsiaTheme="minorEastAsia"/>
          <w:szCs w:val="24"/>
        </w:rPr>
        <w:t>10.3</w:t>
      </w:r>
      <w:r>
        <w:rPr>
          <w:rFonts w:hint="eastAsia" w:asciiTheme="minorEastAsia" w:hAnsiTheme="minorEastAsia" w:eastAsiaTheme="minorEastAsia"/>
          <w:szCs w:val="24"/>
        </w:rPr>
        <w:t>、系统支持高温、低温等配包选择操作，并提醒包的后续走向。系统支持临时包、外来器械包、高水平消毒包等配包操作。</w:t>
      </w:r>
    </w:p>
    <w:p w14:paraId="26A33C00">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1</w:t>
      </w:r>
      <w:r>
        <w:rPr>
          <w:rFonts w:asciiTheme="minorEastAsia" w:hAnsiTheme="minorEastAsia" w:eastAsiaTheme="minorEastAsia"/>
          <w:szCs w:val="24"/>
        </w:rPr>
        <w:t>0.4</w:t>
      </w:r>
      <w:r>
        <w:rPr>
          <w:rFonts w:hint="eastAsia" w:asciiTheme="minorEastAsia" w:hAnsiTheme="minorEastAsia" w:eastAsiaTheme="minorEastAsia"/>
          <w:szCs w:val="24"/>
        </w:rPr>
        <w:t>、对包装结果进行审核确认。包装流程可直接对代消包（临时包）、敷料包进行包装及标签打印。</w:t>
      </w:r>
    </w:p>
    <w:p w14:paraId="13619B04">
      <w:pPr>
        <w:ind w:firstLine="480" w:firstLineChars="200"/>
        <w:rPr>
          <w:rFonts w:asciiTheme="minorEastAsia" w:hAnsiTheme="minorEastAsia" w:eastAsiaTheme="minorEastAsia"/>
          <w:szCs w:val="24"/>
        </w:rPr>
      </w:pPr>
      <w:r>
        <w:rPr>
          <w:rFonts w:hint="eastAsia" w:cs="宋体" w:asciiTheme="minorEastAsia" w:hAnsiTheme="minorEastAsia" w:eastAsiaTheme="minorEastAsia"/>
          <w:szCs w:val="24"/>
          <w:lang w:bidi="ar"/>
        </w:rPr>
        <w:t>1</w:t>
      </w:r>
      <w:r>
        <w:rPr>
          <w:rFonts w:cs="宋体" w:asciiTheme="minorEastAsia" w:hAnsiTheme="minorEastAsia" w:eastAsiaTheme="minorEastAsia"/>
          <w:szCs w:val="24"/>
          <w:lang w:bidi="ar"/>
        </w:rPr>
        <w:t>0.</w:t>
      </w:r>
      <w:r>
        <w:rPr>
          <w:rFonts w:asciiTheme="minorEastAsia" w:hAnsiTheme="minorEastAsia" w:eastAsiaTheme="minorEastAsia"/>
          <w:szCs w:val="24"/>
        </w:rPr>
        <w:t>5</w:t>
      </w:r>
      <w:r>
        <w:rPr>
          <w:rFonts w:hint="eastAsia" w:asciiTheme="minorEastAsia" w:hAnsiTheme="minorEastAsia" w:eastAsiaTheme="minorEastAsia"/>
          <w:szCs w:val="24"/>
        </w:rPr>
        <w:t>、系统支持包装材料选择，并支持在线配包质检，支持包装时临时更改包装材料并重新计算有效期。</w:t>
      </w:r>
    </w:p>
    <w:p w14:paraId="1DFF5FFF">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1</w:t>
      </w:r>
      <w:r>
        <w:rPr>
          <w:rFonts w:asciiTheme="minorEastAsia" w:hAnsiTheme="minorEastAsia" w:eastAsiaTheme="minorEastAsia"/>
          <w:szCs w:val="24"/>
        </w:rPr>
        <w:t>0.6</w:t>
      </w:r>
      <w:r>
        <w:rPr>
          <w:rFonts w:hint="eastAsia" w:asciiTheme="minorEastAsia" w:hAnsiTheme="minorEastAsia" w:eastAsiaTheme="minorEastAsia"/>
          <w:szCs w:val="24"/>
        </w:rPr>
        <w:t>、包装时可设置放入包内卡提醒。</w:t>
      </w:r>
    </w:p>
    <w:p w14:paraId="171556F5">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1</w:t>
      </w:r>
      <w:r>
        <w:rPr>
          <w:rFonts w:asciiTheme="minorEastAsia" w:hAnsiTheme="minorEastAsia" w:eastAsiaTheme="minorEastAsia"/>
          <w:szCs w:val="24"/>
        </w:rPr>
        <w:t>0.7</w:t>
      </w:r>
      <w:r>
        <w:rPr>
          <w:rFonts w:hint="eastAsia" w:asciiTheme="minorEastAsia" w:hAnsiTheme="minorEastAsia" w:eastAsiaTheme="minorEastAsia"/>
          <w:szCs w:val="24"/>
        </w:rPr>
        <w:t>、支持高水平消毒包标签打印并直接发放。</w:t>
      </w:r>
    </w:p>
    <w:p w14:paraId="14D3F251">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1</w:t>
      </w:r>
      <w:r>
        <w:rPr>
          <w:rFonts w:asciiTheme="minorEastAsia" w:hAnsiTheme="minorEastAsia" w:eastAsiaTheme="minorEastAsia"/>
          <w:szCs w:val="24"/>
        </w:rPr>
        <w:t>0.8</w:t>
      </w:r>
      <w:r>
        <w:rPr>
          <w:rFonts w:hint="eastAsia" w:asciiTheme="minorEastAsia" w:hAnsiTheme="minorEastAsia" w:eastAsiaTheme="minorEastAsia"/>
          <w:szCs w:val="24"/>
        </w:rPr>
        <w:t>、检查包装环节支持先记录配包人,根据核对人核对后再进行打印标签操作，记录不同操作时间。</w:t>
      </w:r>
    </w:p>
    <w:p w14:paraId="6FE3ACCD">
      <w:pPr>
        <w:ind w:firstLine="480" w:firstLineChars="200"/>
        <w:rPr>
          <w:rFonts w:asciiTheme="minorEastAsia" w:hAnsiTheme="minorEastAsia" w:eastAsiaTheme="minorEastAsia"/>
          <w:szCs w:val="24"/>
        </w:rPr>
      </w:pPr>
      <w:r>
        <w:rPr>
          <w:rFonts w:asciiTheme="minorEastAsia" w:hAnsiTheme="minorEastAsia" w:eastAsiaTheme="minorEastAsia"/>
          <w:szCs w:val="24"/>
        </w:rPr>
        <w:t>10.9</w:t>
      </w:r>
      <w:r>
        <w:rPr>
          <w:rFonts w:hint="eastAsia" w:asciiTheme="minorEastAsia" w:hAnsiTheme="minorEastAsia" w:eastAsiaTheme="minorEastAsia"/>
          <w:szCs w:val="24"/>
        </w:rPr>
        <w:t>、系统支持打印条形码标签，标签内容包含物品名称规格、检查包装者姓名或代号、灭菌器编号、灭菌批次、灭菌日期、有效日期等相关信息；并支持补打操作。使用材料好性能好的消毒包标识卡，能够直观指示包的灭菌情况，含至少3个以上条码方块。</w:t>
      </w:r>
    </w:p>
    <w:p w14:paraId="33E4A44B">
      <w:pPr>
        <w:ind w:firstLine="482" w:firstLineChars="200"/>
        <w:rPr>
          <w:rFonts w:asciiTheme="minorEastAsia" w:hAnsiTheme="minorEastAsia" w:eastAsiaTheme="minorEastAsia"/>
          <w:b/>
          <w:bCs/>
          <w:szCs w:val="24"/>
        </w:rPr>
      </w:pPr>
      <w:r>
        <w:rPr>
          <w:rFonts w:hint="eastAsia" w:asciiTheme="minorEastAsia" w:hAnsiTheme="minorEastAsia" w:eastAsiaTheme="minorEastAsia"/>
          <w:b/>
          <w:bCs/>
          <w:szCs w:val="24"/>
        </w:rPr>
        <w:t>1</w:t>
      </w:r>
      <w:r>
        <w:rPr>
          <w:rFonts w:asciiTheme="minorEastAsia" w:hAnsiTheme="minorEastAsia" w:eastAsiaTheme="minorEastAsia"/>
          <w:b/>
          <w:bCs/>
          <w:szCs w:val="24"/>
        </w:rPr>
        <w:t>1</w:t>
      </w:r>
      <w:r>
        <w:rPr>
          <w:rFonts w:hint="eastAsia" w:asciiTheme="minorEastAsia" w:hAnsiTheme="minorEastAsia" w:eastAsiaTheme="minorEastAsia"/>
          <w:b/>
          <w:bCs/>
          <w:szCs w:val="24"/>
        </w:rPr>
        <w:t>、灭菌环节</w:t>
      </w:r>
    </w:p>
    <w:p w14:paraId="16D3E3D5">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1</w:t>
      </w:r>
      <w:r>
        <w:rPr>
          <w:rFonts w:asciiTheme="minorEastAsia" w:hAnsiTheme="minorEastAsia" w:eastAsiaTheme="minorEastAsia"/>
          <w:szCs w:val="24"/>
        </w:rPr>
        <w:t>1.1</w:t>
      </w:r>
      <w:r>
        <w:rPr>
          <w:rFonts w:hint="eastAsia" w:asciiTheme="minorEastAsia" w:hAnsiTheme="minorEastAsia" w:eastAsiaTheme="minorEastAsia"/>
          <w:szCs w:val="24"/>
        </w:rPr>
        <w:t>、记录待灭菌包灭菌情况，将待灭菌包、灭菌设备、灭菌程序、锅次进行关联，同时可设置灭菌程序最小和最大工作时间，以及工作超时提醒，规范人员操作；支持灭菌时突发情况停止灭菌，并支持更换锅次操作。可提前将器械包信息与灭菌车关联，进锅后绑定灭菌机，同时记录灭菌物品、灭菌人员、检查人员等信息。</w:t>
      </w:r>
    </w:p>
    <w:p w14:paraId="0E074EAE">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1</w:t>
      </w:r>
      <w:r>
        <w:rPr>
          <w:rFonts w:asciiTheme="minorEastAsia" w:hAnsiTheme="minorEastAsia" w:eastAsiaTheme="minorEastAsia"/>
          <w:szCs w:val="24"/>
        </w:rPr>
        <w:t>1.2</w:t>
      </w:r>
      <w:r>
        <w:rPr>
          <w:rFonts w:hint="eastAsia" w:asciiTheme="minorEastAsia" w:hAnsiTheme="minorEastAsia" w:eastAsiaTheme="minorEastAsia"/>
          <w:szCs w:val="24"/>
        </w:rPr>
        <w:t>、支持BD实验检测、真空测漏、生物检测等数据的导入，自动约束管理灭菌工序操作。BD测试主动干预，未进行BD测试或不合格的锅不能进行下一步灭菌。可设置BD测试最小运行时间。</w:t>
      </w:r>
    </w:p>
    <w:p w14:paraId="123C2BC4">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1</w:t>
      </w:r>
      <w:r>
        <w:rPr>
          <w:rFonts w:asciiTheme="minorEastAsia" w:hAnsiTheme="minorEastAsia" w:eastAsiaTheme="minorEastAsia"/>
          <w:szCs w:val="24"/>
        </w:rPr>
        <w:t>1.3</w:t>
      </w:r>
      <w:r>
        <w:rPr>
          <w:rFonts w:hint="eastAsia" w:asciiTheme="minorEastAsia" w:hAnsiTheme="minorEastAsia" w:eastAsiaTheme="minorEastAsia"/>
          <w:szCs w:val="24"/>
        </w:rPr>
        <w:t>、支持对有条码的BD包进行放置前的登记和出锅后的审核登记并保证前后记录主体的一致性。</w:t>
      </w:r>
    </w:p>
    <w:p w14:paraId="65E7A8E1">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1</w:t>
      </w:r>
      <w:r>
        <w:rPr>
          <w:rFonts w:asciiTheme="minorEastAsia" w:hAnsiTheme="minorEastAsia" w:eastAsiaTheme="minorEastAsia"/>
          <w:szCs w:val="24"/>
        </w:rPr>
        <w:t>1.4</w:t>
      </w:r>
      <w:r>
        <w:rPr>
          <w:rFonts w:hint="eastAsia" w:asciiTheme="minorEastAsia" w:hAnsiTheme="minorEastAsia" w:eastAsiaTheme="minorEastAsia"/>
          <w:szCs w:val="24"/>
        </w:rPr>
        <w:t>、支持智能语音提示，错误报警等，在灭菌操作时，如：将高、低温的包放错锅次进行灭菌的情况，系统自动阻止并提示。</w:t>
      </w:r>
    </w:p>
    <w:p w14:paraId="32D3BC52">
      <w:pPr>
        <w:ind w:firstLine="480" w:firstLineChars="200"/>
        <w:rPr>
          <w:rFonts w:asciiTheme="minorEastAsia" w:hAnsiTheme="minorEastAsia" w:eastAsiaTheme="minorEastAsia"/>
          <w:szCs w:val="24"/>
        </w:rPr>
      </w:pPr>
      <w:r>
        <w:rPr>
          <w:rFonts w:asciiTheme="minorEastAsia" w:hAnsiTheme="minorEastAsia" w:eastAsiaTheme="minorEastAsia"/>
          <w:szCs w:val="24"/>
        </w:rPr>
        <w:t>11.5</w:t>
      </w:r>
      <w:r>
        <w:rPr>
          <w:rFonts w:hint="eastAsia" w:asciiTheme="minorEastAsia" w:hAnsiTheme="minorEastAsia" w:eastAsiaTheme="minorEastAsia"/>
          <w:szCs w:val="24"/>
        </w:rPr>
        <w:t>、系统支持灭菌设备每日提醒做日常维护，并统计分析。</w:t>
      </w:r>
    </w:p>
    <w:p w14:paraId="484EC2A9">
      <w:pPr>
        <w:ind w:firstLine="480" w:firstLineChars="200"/>
        <w:rPr>
          <w:rFonts w:asciiTheme="minorEastAsia" w:hAnsiTheme="minorEastAsia" w:eastAsiaTheme="minorEastAsia"/>
          <w:szCs w:val="24"/>
        </w:rPr>
      </w:pPr>
      <w:r>
        <w:rPr>
          <w:rFonts w:hint="eastAsia" w:cs="宋体" w:asciiTheme="minorEastAsia" w:hAnsiTheme="minorEastAsia" w:eastAsiaTheme="minorEastAsia"/>
          <w:szCs w:val="24"/>
          <w:lang w:bidi="ar"/>
        </w:rPr>
        <w:t>1</w:t>
      </w:r>
      <w:r>
        <w:rPr>
          <w:rFonts w:cs="宋体" w:asciiTheme="minorEastAsia" w:hAnsiTheme="minorEastAsia" w:eastAsiaTheme="minorEastAsia"/>
          <w:szCs w:val="24"/>
          <w:lang w:bidi="ar"/>
        </w:rPr>
        <w:t>1.</w:t>
      </w:r>
      <w:r>
        <w:rPr>
          <w:rFonts w:asciiTheme="minorEastAsia" w:hAnsiTheme="minorEastAsia" w:eastAsiaTheme="minorEastAsia"/>
          <w:szCs w:val="24"/>
        </w:rPr>
        <w:t>6</w:t>
      </w:r>
      <w:r>
        <w:rPr>
          <w:rFonts w:hint="eastAsia" w:asciiTheme="minorEastAsia" w:hAnsiTheme="minorEastAsia" w:eastAsiaTheme="minorEastAsia"/>
          <w:szCs w:val="24"/>
        </w:rPr>
        <w:t>、灭菌自动提示：系统支持灭菌设备生物监测提醒信息，需要做生物监测的批次在灭菌时自动提示，可以自行设定生物监测天数提醒，如压力蒸汽灭菌设备前一次生物监测时间和生物监测到期时间的提醒、低温等离子每天第一锅、环氧乙烷每一锅、每锅次管腔P</w:t>
      </w:r>
      <w:r>
        <w:rPr>
          <w:rFonts w:asciiTheme="minorEastAsia" w:hAnsiTheme="minorEastAsia" w:eastAsiaTheme="minorEastAsia"/>
          <w:szCs w:val="24"/>
        </w:rPr>
        <w:t>CD</w:t>
      </w:r>
      <w:r>
        <w:rPr>
          <w:rFonts w:hint="eastAsia" w:asciiTheme="minorEastAsia" w:hAnsiTheme="minorEastAsia" w:eastAsiaTheme="minorEastAsia"/>
          <w:szCs w:val="24"/>
        </w:rPr>
        <w:t>等。</w:t>
      </w:r>
      <w:r>
        <w:rPr>
          <w:rFonts w:asciiTheme="minorEastAsia" w:hAnsiTheme="minorEastAsia" w:eastAsiaTheme="minorEastAsia"/>
          <w:szCs w:val="24"/>
        </w:rPr>
        <w:t xml:space="preserve"> </w:t>
      </w:r>
    </w:p>
    <w:p w14:paraId="404794AF">
      <w:pPr>
        <w:ind w:firstLine="480" w:firstLineChars="200"/>
        <w:rPr>
          <w:rFonts w:asciiTheme="minorEastAsia" w:hAnsiTheme="minorEastAsia" w:eastAsiaTheme="minorEastAsia"/>
          <w:szCs w:val="24"/>
        </w:rPr>
      </w:pPr>
      <w:r>
        <w:rPr>
          <w:rFonts w:hint="eastAsia" w:cs="宋体" w:asciiTheme="minorEastAsia" w:hAnsiTheme="minorEastAsia" w:eastAsiaTheme="minorEastAsia"/>
          <w:szCs w:val="24"/>
          <w:lang w:bidi="ar"/>
        </w:rPr>
        <w:t>1</w:t>
      </w:r>
      <w:r>
        <w:rPr>
          <w:rFonts w:cs="宋体" w:asciiTheme="minorEastAsia" w:hAnsiTheme="minorEastAsia" w:eastAsiaTheme="minorEastAsia"/>
          <w:szCs w:val="24"/>
          <w:lang w:bidi="ar"/>
        </w:rPr>
        <w:t>1.</w:t>
      </w:r>
      <w:r>
        <w:rPr>
          <w:rFonts w:asciiTheme="minorEastAsia" w:hAnsiTheme="minorEastAsia" w:eastAsiaTheme="minorEastAsia"/>
          <w:szCs w:val="24"/>
        </w:rPr>
        <w:t>7</w:t>
      </w:r>
      <w:r>
        <w:rPr>
          <w:rFonts w:hint="eastAsia" w:asciiTheme="minorEastAsia" w:hAnsiTheme="minorEastAsia" w:eastAsiaTheme="minorEastAsia"/>
          <w:szCs w:val="24"/>
        </w:rPr>
        <w:t>、系统支持器械包和灭菌锅的核验操作，避免高温（低温）包放进低温（高温）灭菌设备中。</w:t>
      </w:r>
    </w:p>
    <w:p w14:paraId="6577D6EE">
      <w:pPr>
        <w:ind w:firstLine="480" w:firstLineChars="200"/>
        <w:rPr>
          <w:rFonts w:asciiTheme="minorEastAsia" w:hAnsiTheme="minorEastAsia" w:eastAsiaTheme="minorEastAsia"/>
          <w:szCs w:val="24"/>
        </w:rPr>
      </w:pPr>
      <w:r>
        <w:rPr>
          <w:rFonts w:asciiTheme="minorEastAsia" w:hAnsiTheme="minorEastAsia" w:eastAsiaTheme="minorEastAsia"/>
          <w:szCs w:val="24"/>
        </w:rPr>
        <w:t>11.8</w:t>
      </w:r>
      <w:r>
        <w:rPr>
          <w:rFonts w:hint="eastAsia" w:asciiTheme="minorEastAsia" w:hAnsiTheme="minorEastAsia" w:eastAsiaTheme="minorEastAsia"/>
          <w:szCs w:val="24"/>
        </w:rPr>
        <w:t>、系统支持灭菌锅里有外来包/植入物，主动提醒含植入物包必须做生物监测并数字化存留提前放行凭证。可以按照五类爬行卡提前放行，否则不允许放行；并做统计分析。</w:t>
      </w:r>
    </w:p>
    <w:p w14:paraId="7B3E2841">
      <w:pPr>
        <w:ind w:firstLine="480" w:firstLineChars="200"/>
        <w:rPr>
          <w:rFonts w:asciiTheme="minorEastAsia" w:hAnsiTheme="minorEastAsia" w:eastAsiaTheme="minorEastAsia"/>
          <w:szCs w:val="24"/>
        </w:rPr>
      </w:pPr>
      <w:r>
        <w:rPr>
          <w:rFonts w:asciiTheme="minorEastAsia" w:hAnsiTheme="minorEastAsia" w:eastAsiaTheme="minorEastAsia"/>
          <w:szCs w:val="24"/>
        </w:rPr>
        <w:t>11.9</w:t>
      </w:r>
      <w:r>
        <w:rPr>
          <w:rFonts w:hint="eastAsia" w:asciiTheme="minorEastAsia" w:hAnsiTheme="minorEastAsia" w:eastAsiaTheme="minorEastAsia"/>
          <w:szCs w:val="24"/>
        </w:rPr>
        <w:t>、系统支持高温压力蒸汽灭菌器、低温灭菌器数据采集：通过从设备输出接口直接获取信息，实时采集温度、压力、湿度等参数，并获取设备运行状态信息，核实灭菌是否符合质量要求。(硬件厂家开放接口，配合做对接)，设备不开放端口的数据，支持电子拍照留存。</w:t>
      </w:r>
    </w:p>
    <w:p w14:paraId="50EB708E">
      <w:pPr>
        <w:ind w:firstLine="480" w:firstLineChars="200"/>
        <w:rPr>
          <w:rFonts w:asciiTheme="minorEastAsia" w:hAnsiTheme="minorEastAsia" w:eastAsiaTheme="minorEastAsia"/>
          <w:szCs w:val="24"/>
        </w:rPr>
      </w:pPr>
      <w:r>
        <w:rPr>
          <w:rFonts w:asciiTheme="minorEastAsia" w:hAnsiTheme="minorEastAsia" w:eastAsiaTheme="minorEastAsia"/>
          <w:szCs w:val="24"/>
        </w:rPr>
        <w:t>11.10</w:t>
      </w:r>
      <w:r>
        <w:rPr>
          <w:rFonts w:hint="eastAsia" w:asciiTheme="minorEastAsia" w:hAnsiTheme="minorEastAsia" w:eastAsiaTheme="minorEastAsia"/>
          <w:szCs w:val="24"/>
        </w:rPr>
        <w:t>、支持每批次关联记录灭菌环节工序所有信息，包含灭菌责任人员、灭菌设备、开始时间、结束时间、灭菌程序等信息，支持灭菌操作规范提醒，双人审核机制，可通过扫描锅次条码并对灭菌审核结果进行登记。记录异常及满足灭菌包质量登记工作。相关凭证可高清扫描（通过高拍仪）数据化存留并可追溯查看。支持所有在供应室灭菌包（高低温）灭菌追溯。</w:t>
      </w:r>
    </w:p>
    <w:p w14:paraId="1E02F855">
      <w:pPr>
        <w:ind w:firstLine="480" w:firstLineChars="200"/>
        <w:rPr>
          <w:rFonts w:asciiTheme="minorEastAsia" w:hAnsiTheme="minorEastAsia" w:eastAsiaTheme="minorEastAsia"/>
          <w:szCs w:val="24"/>
        </w:rPr>
      </w:pPr>
      <w:r>
        <w:rPr>
          <w:rFonts w:asciiTheme="minorEastAsia" w:hAnsiTheme="minorEastAsia" w:eastAsiaTheme="minorEastAsia"/>
          <w:szCs w:val="24"/>
        </w:rPr>
        <w:t>11.11</w:t>
      </w:r>
      <w:r>
        <w:rPr>
          <w:rFonts w:hint="eastAsia" w:asciiTheme="minorEastAsia" w:hAnsiTheme="minorEastAsia" w:eastAsiaTheme="minorEastAsia"/>
          <w:szCs w:val="24"/>
        </w:rPr>
        <w:t>、系统支持提供生物监测结果补录界面，支持登记灭菌审核结果、审核人、审核时间，支持生物监测不合格可按照W</w:t>
      </w:r>
      <w:r>
        <w:rPr>
          <w:rFonts w:asciiTheme="minorEastAsia" w:hAnsiTheme="minorEastAsia" w:eastAsiaTheme="minorEastAsia"/>
          <w:szCs w:val="24"/>
        </w:rPr>
        <w:t>S310</w:t>
      </w:r>
      <w:r>
        <w:rPr>
          <w:rFonts w:hint="eastAsia" w:asciiTheme="minorEastAsia" w:hAnsiTheme="minorEastAsia" w:eastAsiaTheme="minorEastAsia"/>
          <w:szCs w:val="24"/>
        </w:rPr>
        <w:t>规范进行包召回，有批量召回提示功能，并通过消息系统通知对应科室。</w:t>
      </w:r>
    </w:p>
    <w:p w14:paraId="7D8DED64">
      <w:pPr>
        <w:ind w:firstLine="480" w:firstLineChars="200"/>
        <w:rPr>
          <w:rFonts w:asciiTheme="minorEastAsia" w:hAnsiTheme="minorEastAsia" w:eastAsiaTheme="minorEastAsia"/>
          <w:szCs w:val="24"/>
        </w:rPr>
      </w:pPr>
      <w:r>
        <w:rPr>
          <w:rFonts w:asciiTheme="minorEastAsia" w:hAnsiTheme="minorEastAsia" w:eastAsiaTheme="minorEastAsia"/>
          <w:szCs w:val="24"/>
        </w:rPr>
        <w:t>11.12</w:t>
      </w:r>
      <w:r>
        <w:rPr>
          <w:rFonts w:hint="eastAsia" w:asciiTheme="minorEastAsia" w:hAnsiTheme="minorEastAsia" w:eastAsiaTheme="minorEastAsia"/>
          <w:szCs w:val="24"/>
        </w:rPr>
        <w:t>、针对灭菌员有时会漏扫待灭菌包情况，系统提供漏扫解决方案：提供待灭菌物品查询界面，供灭菌员随时查看，来确定是否漏扫。</w:t>
      </w:r>
    </w:p>
    <w:p w14:paraId="548135A6">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1</w:t>
      </w:r>
      <w:r>
        <w:rPr>
          <w:rFonts w:asciiTheme="minorEastAsia" w:hAnsiTheme="minorEastAsia" w:eastAsiaTheme="minorEastAsia"/>
          <w:szCs w:val="24"/>
        </w:rPr>
        <w:t>1.13</w:t>
      </w:r>
      <w:r>
        <w:rPr>
          <w:rFonts w:hint="eastAsia" w:asciiTheme="minorEastAsia" w:hAnsiTheme="minorEastAsia" w:eastAsiaTheme="minorEastAsia"/>
          <w:szCs w:val="24"/>
        </w:rPr>
        <w:t>、灭菌补登记：紧急包入锅，替换锅内已有器械包，同时记录补登记器械包的信息，并取消被替换包灭菌。</w:t>
      </w:r>
    </w:p>
    <w:p w14:paraId="38A68173">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1</w:t>
      </w:r>
      <w:r>
        <w:rPr>
          <w:rFonts w:asciiTheme="minorEastAsia" w:hAnsiTheme="minorEastAsia" w:eastAsiaTheme="minorEastAsia"/>
          <w:szCs w:val="24"/>
        </w:rPr>
        <w:t>1.14</w:t>
      </w:r>
      <w:r>
        <w:rPr>
          <w:rFonts w:hint="eastAsia" w:asciiTheme="minorEastAsia" w:hAnsiTheme="minorEastAsia" w:eastAsiaTheme="minorEastAsia"/>
          <w:szCs w:val="24"/>
        </w:rPr>
        <w:t>、对灭菌过后的器械进行审核时，发现不合格返回，并进行不合格的登记处理，以便后续工作跟进。</w:t>
      </w:r>
    </w:p>
    <w:p w14:paraId="3BB8DE79">
      <w:pPr>
        <w:ind w:firstLine="480" w:firstLineChars="200"/>
        <w:rPr>
          <w:rFonts w:asciiTheme="minorEastAsia" w:hAnsiTheme="minorEastAsia" w:eastAsiaTheme="minorEastAsia"/>
          <w:szCs w:val="24"/>
        </w:rPr>
      </w:pPr>
      <w:r>
        <w:rPr>
          <w:rFonts w:asciiTheme="minorEastAsia" w:hAnsiTheme="minorEastAsia" w:eastAsiaTheme="minorEastAsia"/>
          <w:szCs w:val="24"/>
        </w:rPr>
        <w:t>11.15</w:t>
      </w:r>
      <w:r>
        <w:rPr>
          <w:rFonts w:hint="eastAsia" w:asciiTheme="minorEastAsia" w:hAnsiTheme="minorEastAsia" w:eastAsiaTheme="minorEastAsia"/>
          <w:szCs w:val="24"/>
        </w:rPr>
        <w:t>、支持灭菌数据的统计：不同类灭菌包分类统计；不同科室灭菌包分科统计；操作人员工作量统计，可形成统计报表。</w:t>
      </w:r>
    </w:p>
    <w:p w14:paraId="4E08A476">
      <w:pPr>
        <w:ind w:firstLine="482" w:firstLineChars="200"/>
        <w:rPr>
          <w:rFonts w:asciiTheme="minorEastAsia" w:hAnsiTheme="minorEastAsia" w:eastAsiaTheme="minorEastAsia"/>
          <w:b/>
          <w:bCs/>
          <w:szCs w:val="24"/>
        </w:rPr>
      </w:pPr>
      <w:r>
        <w:rPr>
          <w:rFonts w:hint="eastAsia" w:asciiTheme="minorEastAsia" w:hAnsiTheme="minorEastAsia" w:eastAsiaTheme="minorEastAsia"/>
          <w:b/>
          <w:bCs/>
          <w:szCs w:val="24"/>
        </w:rPr>
        <w:t>1</w:t>
      </w:r>
      <w:r>
        <w:rPr>
          <w:rFonts w:asciiTheme="minorEastAsia" w:hAnsiTheme="minorEastAsia" w:eastAsiaTheme="minorEastAsia"/>
          <w:b/>
          <w:bCs/>
          <w:szCs w:val="24"/>
        </w:rPr>
        <w:t>2</w:t>
      </w:r>
      <w:r>
        <w:rPr>
          <w:rFonts w:hint="eastAsia" w:asciiTheme="minorEastAsia" w:hAnsiTheme="minorEastAsia" w:eastAsiaTheme="minorEastAsia"/>
          <w:b/>
          <w:bCs/>
          <w:szCs w:val="24"/>
        </w:rPr>
        <w:t>、入库环节</w:t>
      </w:r>
    </w:p>
    <w:p w14:paraId="1E8EEEF1">
      <w:pPr>
        <w:ind w:firstLine="480" w:firstLineChars="200"/>
        <w:rPr>
          <w:rFonts w:asciiTheme="minorEastAsia" w:hAnsiTheme="minorEastAsia" w:eastAsiaTheme="minorEastAsia"/>
          <w:szCs w:val="24"/>
        </w:rPr>
      </w:pPr>
      <w:r>
        <w:rPr>
          <w:rFonts w:asciiTheme="minorEastAsia" w:hAnsiTheme="minorEastAsia" w:eastAsiaTheme="minorEastAsia"/>
          <w:szCs w:val="24"/>
        </w:rPr>
        <w:t>12.</w:t>
      </w:r>
      <w:r>
        <w:rPr>
          <w:rFonts w:hint="eastAsia" w:asciiTheme="minorEastAsia" w:hAnsiTheme="minorEastAsia" w:eastAsiaTheme="minorEastAsia"/>
          <w:szCs w:val="24"/>
        </w:rPr>
        <w:t>1、系统支持整锅一键入库，也支持点选入库，系统须支持做库存质检，并记录入库人员和抽检信息结果。</w:t>
      </w:r>
    </w:p>
    <w:p w14:paraId="20E05BD7">
      <w:pPr>
        <w:ind w:firstLine="480" w:firstLineChars="200"/>
        <w:rPr>
          <w:rFonts w:asciiTheme="minorEastAsia" w:hAnsiTheme="minorEastAsia" w:eastAsiaTheme="minorEastAsia"/>
          <w:szCs w:val="24"/>
        </w:rPr>
      </w:pPr>
      <w:r>
        <w:rPr>
          <w:rFonts w:asciiTheme="minorEastAsia" w:hAnsiTheme="minorEastAsia" w:eastAsiaTheme="minorEastAsia"/>
          <w:szCs w:val="24"/>
        </w:rPr>
        <w:t>12.</w:t>
      </w:r>
      <w:r>
        <w:rPr>
          <w:rFonts w:hint="eastAsia" w:asciiTheme="minorEastAsia" w:hAnsiTheme="minorEastAsia" w:eastAsiaTheme="minorEastAsia"/>
          <w:szCs w:val="24"/>
        </w:rPr>
        <w:t>2、系统支持在线显示生物监测结果，便于入库发放。</w:t>
      </w:r>
    </w:p>
    <w:p w14:paraId="43E3408C">
      <w:pPr>
        <w:ind w:firstLine="480" w:firstLineChars="200"/>
        <w:rPr>
          <w:rFonts w:asciiTheme="minorEastAsia" w:hAnsiTheme="minorEastAsia" w:eastAsiaTheme="minorEastAsia"/>
          <w:szCs w:val="24"/>
        </w:rPr>
      </w:pPr>
      <w:r>
        <w:rPr>
          <w:rFonts w:asciiTheme="minorEastAsia" w:hAnsiTheme="minorEastAsia" w:eastAsiaTheme="minorEastAsia"/>
          <w:szCs w:val="24"/>
        </w:rPr>
        <w:t>12.</w:t>
      </w:r>
      <w:r>
        <w:rPr>
          <w:rFonts w:hint="eastAsia" w:asciiTheme="minorEastAsia" w:hAnsiTheme="minorEastAsia" w:eastAsiaTheme="minorEastAsia"/>
          <w:szCs w:val="24"/>
        </w:rPr>
        <w:t>3、支持库存盘点操作及包效期颜色分类显示。</w:t>
      </w:r>
    </w:p>
    <w:p w14:paraId="43DCCF0F">
      <w:pPr>
        <w:ind w:firstLine="482" w:firstLineChars="200"/>
        <w:rPr>
          <w:rFonts w:asciiTheme="minorEastAsia" w:hAnsiTheme="minorEastAsia" w:eastAsiaTheme="minorEastAsia"/>
          <w:b/>
          <w:bCs/>
          <w:szCs w:val="24"/>
        </w:rPr>
      </w:pPr>
      <w:r>
        <w:rPr>
          <w:rFonts w:hint="eastAsia" w:asciiTheme="minorEastAsia" w:hAnsiTheme="minorEastAsia" w:eastAsiaTheme="minorEastAsia"/>
          <w:b/>
          <w:bCs/>
          <w:szCs w:val="24"/>
        </w:rPr>
        <w:t>1</w:t>
      </w:r>
      <w:r>
        <w:rPr>
          <w:rFonts w:asciiTheme="minorEastAsia" w:hAnsiTheme="minorEastAsia" w:eastAsiaTheme="minorEastAsia"/>
          <w:b/>
          <w:bCs/>
          <w:szCs w:val="24"/>
        </w:rPr>
        <w:t>3</w:t>
      </w:r>
      <w:r>
        <w:rPr>
          <w:rFonts w:hint="eastAsia" w:asciiTheme="minorEastAsia" w:hAnsiTheme="minorEastAsia" w:eastAsiaTheme="minorEastAsia"/>
          <w:b/>
          <w:bCs/>
          <w:szCs w:val="24"/>
        </w:rPr>
        <w:t>、发放环节</w:t>
      </w:r>
    </w:p>
    <w:p w14:paraId="33AB1F83">
      <w:pPr>
        <w:ind w:firstLine="480" w:firstLineChars="200"/>
        <w:rPr>
          <w:rFonts w:asciiTheme="minorEastAsia" w:hAnsiTheme="minorEastAsia" w:eastAsiaTheme="minorEastAsia"/>
          <w:szCs w:val="24"/>
        </w:rPr>
      </w:pPr>
      <w:r>
        <w:rPr>
          <w:rFonts w:asciiTheme="minorEastAsia" w:hAnsiTheme="minorEastAsia" w:eastAsiaTheme="minorEastAsia"/>
          <w:szCs w:val="24"/>
        </w:rPr>
        <w:t>13.</w:t>
      </w:r>
      <w:r>
        <w:rPr>
          <w:rFonts w:hint="eastAsia" w:asciiTheme="minorEastAsia" w:hAnsiTheme="minorEastAsia" w:eastAsiaTheme="minorEastAsia"/>
          <w:szCs w:val="24"/>
        </w:rPr>
        <w:t>1、系统支持消毒物品的发放，可记录发放人员、领用科室信息，发放时系统可自动校对数量和有效日期；并打印发放单，可以实现电子签收。</w:t>
      </w:r>
    </w:p>
    <w:p w14:paraId="4A015D91">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系统支持按照回收单或者回收单进行发放，发放时系统可自动校对数量和有效日期；并打印发放单，可以实现电子签收。</w:t>
      </w:r>
    </w:p>
    <w:p w14:paraId="2C30FD5B">
      <w:pPr>
        <w:ind w:firstLine="480" w:firstLineChars="200"/>
        <w:rPr>
          <w:rFonts w:asciiTheme="minorEastAsia" w:hAnsiTheme="minorEastAsia" w:eastAsiaTheme="minorEastAsia"/>
          <w:szCs w:val="24"/>
        </w:rPr>
      </w:pPr>
      <w:r>
        <w:rPr>
          <w:rFonts w:asciiTheme="minorEastAsia" w:hAnsiTheme="minorEastAsia" w:eastAsiaTheme="minorEastAsia"/>
          <w:szCs w:val="24"/>
        </w:rPr>
        <w:t>13.</w:t>
      </w:r>
      <w:r>
        <w:rPr>
          <w:rFonts w:hint="eastAsia" w:asciiTheme="minorEastAsia" w:hAnsiTheme="minorEastAsia" w:eastAsiaTheme="minorEastAsia"/>
          <w:szCs w:val="24"/>
        </w:rPr>
        <w:t>2、系统支持包颜色发放管理。</w:t>
      </w:r>
    </w:p>
    <w:p w14:paraId="18997804">
      <w:pPr>
        <w:ind w:firstLine="480" w:firstLineChars="200"/>
        <w:rPr>
          <w:rFonts w:asciiTheme="minorEastAsia" w:hAnsiTheme="minorEastAsia" w:eastAsiaTheme="minorEastAsia"/>
          <w:szCs w:val="24"/>
        </w:rPr>
      </w:pPr>
      <w:r>
        <w:rPr>
          <w:rFonts w:asciiTheme="minorEastAsia" w:hAnsiTheme="minorEastAsia" w:eastAsiaTheme="minorEastAsia"/>
          <w:szCs w:val="24"/>
        </w:rPr>
        <w:t>13.</w:t>
      </w:r>
      <w:r>
        <w:rPr>
          <w:rFonts w:hint="eastAsia" w:asciiTheme="minorEastAsia" w:hAnsiTheme="minorEastAsia" w:eastAsiaTheme="minorEastAsia"/>
          <w:szCs w:val="24"/>
        </w:rPr>
        <w:t>3、支持智能提示今天已灭菌、昨天已灭菌物品包，回收科室，通过扫描发货员标识条码、发放物品标识条码、送货人员标识条码，记录发货人员、发货时间、实际发货物品、物品金额、发放科室、送货人员。</w:t>
      </w:r>
    </w:p>
    <w:p w14:paraId="7B6CEB6B">
      <w:pPr>
        <w:ind w:firstLine="482" w:firstLineChars="200"/>
        <w:rPr>
          <w:rFonts w:asciiTheme="minorEastAsia" w:hAnsiTheme="minorEastAsia" w:eastAsiaTheme="minorEastAsia"/>
          <w:b/>
          <w:bCs/>
          <w:szCs w:val="24"/>
        </w:rPr>
      </w:pPr>
      <w:r>
        <w:rPr>
          <w:rFonts w:hint="eastAsia" w:asciiTheme="minorEastAsia" w:hAnsiTheme="minorEastAsia" w:eastAsiaTheme="minorEastAsia"/>
          <w:b/>
          <w:bCs/>
          <w:szCs w:val="24"/>
        </w:rPr>
        <w:t>1</w:t>
      </w:r>
      <w:r>
        <w:rPr>
          <w:rFonts w:asciiTheme="minorEastAsia" w:hAnsiTheme="minorEastAsia" w:eastAsiaTheme="minorEastAsia"/>
          <w:b/>
          <w:bCs/>
          <w:szCs w:val="24"/>
        </w:rPr>
        <w:t>4</w:t>
      </w:r>
      <w:r>
        <w:rPr>
          <w:rFonts w:hint="eastAsia" w:asciiTheme="minorEastAsia" w:hAnsiTheme="minorEastAsia" w:eastAsiaTheme="minorEastAsia"/>
          <w:b/>
          <w:bCs/>
          <w:szCs w:val="24"/>
        </w:rPr>
        <w:t>、使用科室管理环节</w:t>
      </w:r>
    </w:p>
    <w:p w14:paraId="430AD5B7">
      <w:pPr>
        <w:ind w:firstLine="480" w:firstLineChars="200"/>
        <w:rPr>
          <w:rFonts w:asciiTheme="minorEastAsia" w:hAnsiTheme="minorEastAsia" w:eastAsiaTheme="minorEastAsia"/>
          <w:szCs w:val="24"/>
        </w:rPr>
      </w:pPr>
      <w:r>
        <w:rPr>
          <w:rFonts w:asciiTheme="minorEastAsia" w:hAnsiTheme="minorEastAsia" w:eastAsiaTheme="minorEastAsia"/>
          <w:szCs w:val="24"/>
        </w:rPr>
        <w:t>14.</w:t>
      </w:r>
      <w:r>
        <w:rPr>
          <w:rFonts w:hint="eastAsia" w:asciiTheme="minorEastAsia" w:hAnsiTheme="minorEastAsia" w:eastAsiaTheme="minorEastAsia"/>
          <w:szCs w:val="24"/>
        </w:rPr>
        <w:t>1、全院各科室请领物品：系统支持回收/申请两种模式并存，实现无纸化申领机制；并可对申请单做加急操作。各申请单据可查询修改，统计查询。</w:t>
      </w:r>
    </w:p>
    <w:p w14:paraId="03EEEBB2">
      <w:pPr>
        <w:ind w:firstLine="480" w:firstLineChars="200"/>
        <w:rPr>
          <w:rFonts w:asciiTheme="minorEastAsia" w:hAnsiTheme="minorEastAsia" w:eastAsiaTheme="minorEastAsia"/>
          <w:szCs w:val="24"/>
        </w:rPr>
      </w:pPr>
      <w:r>
        <w:rPr>
          <w:rFonts w:asciiTheme="minorEastAsia" w:hAnsiTheme="minorEastAsia" w:eastAsiaTheme="minorEastAsia"/>
          <w:szCs w:val="24"/>
        </w:rPr>
        <w:t>14.</w:t>
      </w:r>
      <w:r>
        <w:rPr>
          <w:rFonts w:hint="eastAsia" w:asciiTheme="minorEastAsia" w:hAnsiTheme="minorEastAsia" w:eastAsiaTheme="minorEastAsia"/>
          <w:szCs w:val="24"/>
        </w:rPr>
        <w:t>2、系统支持包的二次发放功能，便于成本分摊核算。</w:t>
      </w:r>
    </w:p>
    <w:p w14:paraId="2030AADA">
      <w:pPr>
        <w:ind w:firstLine="480" w:firstLineChars="200"/>
        <w:rPr>
          <w:rFonts w:asciiTheme="minorEastAsia" w:hAnsiTheme="minorEastAsia" w:eastAsiaTheme="minorEastAsia"/>
          <w:szCs w:val="24"/>
        </w:rPr>
      </w:pPr>
      <w:r>
        <w:rPr>
          <w:rFonts w:asciiTheme="minorEastAsia" w:hAnsiTheme="minorEastAsia" w:eastAsiaTheme="minorEastAsia"/>
          <w:szCs w:val="24"/>
        </w:rPr>
        <w:t>14.</w:t>
      </w:r>
      <w:r>
        <w:rPr>
          <w:rFonts w:hint="eastAsia" w:asciiTheme="minorEastAsia" w:hAnsiTheme="minorEastAsia" w:eastAsiaTheme="minorEastAsia"/>
          <w:szCs w:val="24"/>
        </w:rPr>
        <w:t>3、系统支持对科室库存监控，并支持发放到指定手术间。</w:t>
      </w:r>
    </w:p>
    <w:p w14:paraId="257EA114">
      <w:pPr>
        <w:ind w:firstLine="480" w:firstLineChars="200"/>
        <w:rPr>
          <w:rFonts w:asciiTheme="minorEastAsia" w:hAnsiTheme="minorEastAsia" w:eastAsiaTheme="minorEastAsia"/>
          <w:szCs w:val="24"/>
        </w:rPr>
      </w:pPr>
      <w:r>
        <w:rPr>
          <w:rFonts w:hint="eastAsia" w:cs="宋体" w:asciiTheme="minorEastAsia" w:hAnsiTheme="minorEastAsia" w:eastAsiaTheme="minorEastAsia"/>
          <w:szCs w:val="24"/>
          <w:lang w:bidi="ar"/>
        </w:rPr>
        <w:t>1</w:t>
      </w:r>
      <w:r>
        <w:rPr>
          <w:rFonts w:cs="宋体" w:asciiTheme="minorEastAsia" w:hAnsiTheme="minorEastAsia" w:eastAsiaTheme="minorEastAsia"/>
          <w:szCs w:val="24"/>
          <w:lang w:bidi="ar"/>
        </w:rPr>
        <w:t>4.</w:t>
      </w:r>
      <w:r>
        <w:rPr>
          <w:rFonts w:hint="eastAsia" w:asciiTheme="minorEastAsia" w:hAnsiTheme="minorEastAsia" w:eastAsiaTheme="minorEastAsia"/>
          <w:szCs w:val="24"/>
        </w:rPr>
        <w:t>4、系统使用环节支持扫描枪扫描和手工录入两种方式，并可以在线标注病人状态（是否感染）。</w:t>
      </w:r>
    </w:p>
    <w:p w14:paraId="5EC0E436">
      <w:pPr>
        <w:ind w:firstLine="480" w:firstLineChars="200"/>
        <w:rPr>
          <w:rFonts w:asciiTheme="minorEastAsia" w:hAnsiTheme="minorEastAsia" w:eastAsiaTheme="minorEastAsia"/>
          <w:szCs w:val="24"/>
        </w:rPr>
      </w:pPr>
      <w:r>
        <w:rPr>
          <w:rFonts w:asciiTheme="minorEastAsia" w:hAnsiTheme="minorEastAsia" w:eastAsiaTheme="minorEastAsia"/>
          <w:szCs w:val="24"/>
        </w:rPr>
        <w:t>14.</w:t>
      </w:r>
      <w:r>
        <w:rPr>
          <w:rFonts w:hint="eastAsia" w:asciiTheme="minorEastAsia" w:hAnsiTheme="minorEastAsia" w:eastAsiaTheme="minorEastAsia"/>
          <w:szCs w:val="24"/>
        </w:rPr>
        <w:t>5、系统支持成本核算。</w:t>
      </w:r>
    </w:p>
    <w:p w14:paraId="5331B14A">
      <w:pPr>
        <w:ind w:firstLine="482" w:firstLineChars="200"/>
        <w:rPr>
          <w:rFonts w:asciiTheme="minorEastAsia" w:hAnsiTheme="minorEastAsia" w:eastAsiaTheme="minorEastAsia"/>
          <w:b/>
          <w:bCs/>
          <w:szCs w:val="24"/>
        </w:rPr>
      </w:pPr>
      <w:r>
        <w:rPr>
          <w:rFonts w:hint="eastAsia" w:asciiTheme="minorEastAsia" w:hAnsiTheme="minorEastAsia" w:eastAsiaTheme="minorEastAsia"/>
          <w:b/>
          <w:bCs/>
          <w:szCs w:val="24"/>
        </w:rPr>
        <w:t>1</w:t>
      </w:r>
      <w:r>
        <w:rPr>
          <w:rFonts w:asciiTheme="minorEastAsia" w:hAnsiTheme="minorEastAsia" w:eastAsiaTheme="minorEastAsia"/>
          <w:b/>
          <w:bCs/>
          <w:szCs w:val="24"/>
        </w:rPr>
        <w:t>5</w:t>
      </w:r>
      <w:r>
        <w:rPr>
          <w:rFonts w:hint="eastAsia" w:asciiTheme="minorEastAsia" w:hAnsiTheme="minorEastAsia" w:eastAsiaTheme="minorEastAsia"/>
          <w:b/>
          <w:bCs/>
          <w:szCs w:val="24"/>
        </w:rPr>
        <w:t>、护士长管理平台</w:t>
      </w:r>
    </w:p>
    <w:p w14:paraId="0AE609AA">
      <w:pPr>
        <w:ind w:firstLine="480" w:firstLineChars="200"/>
        <w:rPr>
          <w:rFonts w:asciiTheme="minorEastAsia" w:hAnsiTheme="minorEastAsia" w:eastAsiaTheme="minorEastAsia"/>
          <w:b/>
          <w:bCs/>
          <w:szCs w:val="24"/>
        </w:rPr>
      </w:pPr>
      <w:r>
        <w:rPr>
          <w:rFonts w:asciiTheme="minorEastAsia" w:hAnsiTheme="minorEastAsia" w:eastAsiaTheme="minorEastAsia"/>
          <w:szCs w:val="24"/>
        </w:rPr>
        <w:t>15.</w:t>
      </w:r>
      <w:r>
        <w:rPr>
          <w:rFonts w:hint="eastAsia" w:asciiTheme="minorEastAsia" w:hAnsiTheme="minorEastAsia" w:eastAsiaTheme="minorEastAsia"/>
          <w:szCs w:val="24"/>
        </w:rPr>
        <w:t>1、基础数据管理，实现追溯系统所需基础资料的维护，包括器械包信息、器械包类型信息、器械信息、器械类型信息、科室信息、科室分组信息、人员信息、设备信息、一次性物品信息、生产厂家信息、供应商信息等。</w:t>
      </w:r>
    </w:p>
    <w:p w14:paraId="469C325C">
      <w:pPr>
        <w:ind w:firstLine="480" w:firstLineChars="200"/>
        <w:rPr>
          <w:rFonts w:asciiTheme="minorEastAsia" w:hAnsiTheme="minorEastAsia" w:eastAsiaTheme="minorEastAsia"/>
          <w:szCs w:val="24"/>
        </w:rPr>
      </w:pPr>
      <w:r>
        <w:rPr>
          <w:rFonts w:hint="eastAsia" w:cs="宋体" w:asciiTheme="minorEastAsia" w:hAnsiTheme="minorEastAsia" w:eastAsiaTheme="minorEastAsia"/>
          <w:szCs w:val="24"/>
          <w:lang w:bidi="ar"/>
        </w:rPr>
        <w:t>1</w:t>
      </w:r>
      <w:r>
        <w:rPr>
          <w:rFonts w:cs="宋体" w:asciiTheme="minorEastAsia" w:hAnsiTheme="minorEastAsia" w:eastAsiaTheme="minorEastAsia"/>
          <w:szCs w:val="24"/>
          <w:lang w:bidi="ar"/>
        </w:rPr>
        <w:t>5.</w:t>
      </w:r>
      <w:r>
        <w:rPr>
          <w:rFonts w:hint="eastAsia" w:asciiTheme="minorEastAsia" w:hAnsiTheme="minorEastAsia" w:eastAsiaTheme="minorEastAsia"/>
          <w:szCs w:val="24"/>
        </w:rPr>
        <w:t>2、工作量管理、绩效考核管理：系统支持将工作量统计细化到个人，包括回收、清洗、包装、灭菌、发放等环节，辅以绩效因子，对每个人的工作量进行量化考核。</w:t>
      </w:r>
    </w:p>
    <w:p w14:paraId="7389D47E">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系统支持对CSSD总工作量及工作时间段的统计与分析，并提供分析图表。</w:t>
      </w:r>
    </w:p>
    <w:p w14:paraId="257C0626">
      <w:pPr>
        <w:ind w:firstLine="480" w:firstLineChars="200"/>
        <w:rPr>
          <w:rFonts w:asciiTheme="minorEastAsia" w:hAnsiTheme="minorEastAsia" w:eastAsiaTheme="minorEastAsia"/>
          <w:szCs w:val="24"/>
        </w:rPr>
      </w:pPr>
      <w:r>
        <w:rPr>
          <w:rFonts w:hint="eastAsia" w:cs="宋体" w:asciiTheme="minorEastAsia" w:hAnsiTheme="minorEastAsia" w:eastAsiaTheme="minorEastAsia"/>
          <w:szCs w:val="24"/>
          <w:lang w:bidi="ar"/>
        </w:rPr>
        <w:t>1</w:t>
      </w:r>
      <w:r>
        <w:rPr>
          <w:rFonts w:cs="宋体" w:asciiTheme="minorEastAsia" w:hAnsiTheme="minorEastAsia" w:eastAsiaTheme="minorEastAsia"/>
          <w:szCs w:val="24"/>
          <w:lang w:bidi="ar"/>
        </w:rPr>
        <w:t>5.</w:t>
      </w:r>
      <w:r>
        <w:rPr>
          <w:rFonts w:hint="eastAsia" w:asciiTheme="minorEastAsia" w:hAnsiTheme="minorEastAsia" w:eastAsiaTheme="minorEastAsia"/>
          <w:szCs w:val="24"/>
        </w:rPr>
        <w:t>3、成本核算管理：系统支持分类计算消毒供应中心内各项作业成本及消耗，并汇总统计。成本核算内容包含：器械包费用、器械丢损费用和物资费用等模块。</w:t>
      </w:r>
    </w:p>
    <w:p w14:paraId="12930F84">
      <w:pPr>
        <w:ind w:firstLine="480" w:firstLineChars="200"/>
        <w:rPr>
          <w:rFonts w:asciiTheme="minorEastAsia" w:hAnsiTheme="minorEastAsia" w:eastAsiaTheme="minorEastAsia"/>
          <w:szCs w:val="24"/>
        </w:rPr>
      </w:pPr>
      <w:r>
        <w:rPr>
          <w:rFonts w:asciiTheme="minorEastAsia" w:hAnsiTheme="minorEastAsia" w:eastAsiaTheme="minorEastAsia"/>
          <w:szCs w:val="24"/>
        </w:rPr>
        <w:t>15.</w:t>
      </w:r>
      <w:r>
        <w:rPr>
          <w:rFonts w:hint="eastAsia" w:asciiTheme="minorEastAsia" w:hAnsiTheme="minorEastAsia" w:eastAsiaTheme="minorEastAsia"/>
          <w:szCs w:val="24"/>
        </w:rPr>
        <w:t>4、系统支持物品包不合格信息的采集，以及紧急召回同批次灭菌的物品包；</w:t>
      </w:r>
    </w:p>
    <w:p w14:paraId="0B62C25E">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系统支持自动计算重点环节的不合格率；支持异常信息的查询、统计以及报表生成。</w:t>
      </w:r>
    </w:p>
    <w:p w14:paraId="1ABA818A">
      <w:pPr>
        <w:ind w:firstLine="480" w:firstLineChars="200"/>
        <w:rPr>
          <w:rFonts w:asciiTheme="minorEastAsia" w:hAnsiTheme="minorEastAsia" w:eastAsiaTheme="minorEastAsia"/>
          <w:szCs w:val="24"/>
        </w:rPr>
      </w:pPr>
      <w:r>
        <w:rPr>
          <w:rFonts w:hint="eastAsia" w:cs="宋体" w:asciiTheme="minorEastAsia" w:hAnsiTheme="minorEastAsia" w:eastAsiaTheme="minorEastAsia"/>
          <w:szCs w:val="24"/>
          <w:lang w:bidi="ar"/>
        </w:rPr>
        <w:t>1</w:t>
      </w:r>
      <w:r>
        <w:rPr>
          <w:rFonts w:cs="宋体" w:asciiTheme="minorEastAsia" w:hAnsiTheme="minorEastAsia" w:eastAsiaTheme="minorEastAsia"/>
          <w:szCs w:val="24"/>
          <w:lang w:bidi="ar"/>
        </w:rPr>
        <w:t>5.</w:t>
      </w:r>
      <w:r>
        <w:rPr>
          <w:rFonts w:hint="eastAsia" w:asciiTheme="minorEastAsia" w:hAnsiTheme="minorEastAsia" w:eastAsiaTheme="minorEastAsia"/>
          <w:szCs w:val="24"/>
        </w:rPr>
        <w:t>5、系统支持调查表管理：系统支持满意度调查表在线处理和统计分析；系统支持各工作区间温度、湿度、空气净化度等登记表。</w:t>
      </w:r>
    </w:p>
    <w:p w14:paraId="55D5C8ED">
      <w:pPr>
        <w:ind w:firstLine="480" w:firstLineChars="200"/>
        <w:rPr>
          <w:rFonts w:asciiTheme="minorEastAsia" w:hAnsiTheme="minorEastAsia" w:eastAsiaTheme="minorEastAsia"/>
          <w:szCs w:val="24"/>
        </w:rPr>
      </w:pPr>
      <w:r>
        <w:rPr>
          <w:rFonts w:hint="eastAsia" w:cs="宋体" w:asciiTheme="minorEastAsia" w:hAnsiTheme="minorEastAsia" w:eastAsiaTheme="minorEastAsia"/>
          <w:szCs w:val="24"/>
          <w:lang w:bidi="ar"/>
        </w:rPr>
        <w:t>1</w:t>
      </w:r>
      <w:r>
        <w:rPr>
          <w:rFonts w:cs="宋体" w:asciiTheme="minorEastAsia" w:hAnsiTheme="minorEastAsia" w:eastAsiaTheme="minorEastAsia"/>
          <w:szCs w:val="24"/>
          <w:lang w:bidi="ar"/>
        </w:rPr>
        <w:t>5.</w:t>
      </w:r>
      <w:r>
        <w:rPr>
          <w:rFonts w:hint="eastAsia" w:asciiTheme="minorEastAsia" w:hAnsiTheme="minorEastAsia" w:eastAsiaTheme="minorEastAsia"/>
          <w:szCs w:val="24"/>
        </w:rPr>
        <w:t>6、系统支持正反追溯，同批次追溯。</w:t>
      </w:r>
    </w:p>
    <w:p w14:paraId="064CB779">
      <w:pPr>
        <w:ind w:firstLine="480" w:firstLineChars="200"/>
        <w:rPr>
          <w:rFonts w:asciiTheme="minorEastAsia" w:hAnsiTheme="minorEastAsia" w:eastAsiaTheme="minorEastAsia"/>
          <w:szCs w:val="24"/>
        </w:rPr>
      </w:pPr>
      <w:r>
        <w:rPr>
          <w:rFonts w:hint="eastAsia" w:cs="宋体" w:asciiTheme="minorEastAsia" w:hAnsiTheme="minorEastAsia" w:eastAsiaTheme="minorEastAsia"/>
          <w:szCs w:val="24"/>
          <w:lang w:bidi="ar"/>
        </w:rPr>
        <w:t>1</w:t>
      </w:r>
      <w:r>
        <w:rPr>
          <w:rFonts w:cs="宋体" w:asciiTheme="minorEastAsia" w:hAnsiTheme="minorEastAsia" w:eastAsiaTheme="minorEastAsia"/>
          <w:szCs w:val="24"/>
          <w:lang w:bidi="ar"/>
        </w:rPr>
        <w:t>5.</w:t>
      </w:r>
      <w:r>
        <w:rPr>
          <w:rFonts w:hint="eastAsia" w:asciiTheme="minorEastAsia" w:hAnsiTheme="minorEastAsia" w:eastAsiaTheme="minorEastAsia"/>
          <w:szCs w:val="24"/>
        </w:rPr>
        <w:t>7、系统支持消息管理，便于消毒供应中心护士长消息的发布。</w:t>
      </w:r>
    </w:p>
    <w:p w14:paraId="698C97B1">
      <w:pPr>
        <w:ind w:firstLine="480" w:firstLineChars="200"/>
        <w:rPr>
          <w:rFonts w:asciiTheme="minorEastAsia" w:hAnsiTheme="minorEastAsia" w:eastAsiaTheme="minorEastAsia"/>
          <w:szCs w:val="24"/>
        </w:rPr>
      </w:pPr>
      <w:r>
        <w:rPr>
          <w:rFonts w:asciiTheme="minorEastAsia" w:hAnsiTheme="minorEastAsia" w:eastAsiaTheme="minorEastAsia"/>
          <w:szCs w:val="24"/>
        </w:rPr>
        <w:t>15.</w:t>
      </w:r>
      <w:r>
        <w:rPr>
          <w:rFonts w:hint="eastAsia" w:asciiTheme="minorEastAsia" w:hAnsiTheme="minorEastAsia" w:eastAsiaTheme="minorEastAsia"/>
          <w:szCs w:val="24"/>
        </w:rPr>
        <w:t>8、系统具备科室器械库管理：营造科室器械库，便于统计出目前流转的器械、报废的器械及未使用的器械的数量信息。</w:t>
      </w:r>
    </w:p>
    <w:p w14:paraId="30412085">
      <w:pPr>
        <w:ind w:firstLine="480" w:firstLineChars="200"/>
        <w:rPr>
          <w:rFonts w:asciiTheme="minorEastAsia" w:hAnsiTheme="minorEastAsia" w:eastAsiaTheme="minorEastAsia"/>
          <w:szCs w:val="24"/>
        </w:rPr>
      </w:pPr>
      <w:r>
        <w:rPr>
          <w:rFonts w:asciiTheme="minorEastAsia" w:hAnsiTheme="minorEastAsia" w:eastAsiaTheme="minorEastAsia"/>
          <w:szCs w:val="24"/>
        </w:rPr>
        <w:t>15.</w:t>
      </w:r>
      <w:r>
        <w:rPr>
          <w:rFonts w:hint="eastAsia" w:asciiTheme="minorEastAsia" w:hAnsiTheme="minorEastAsia" w:eastAsiaTheme="minorEastAsia"/>
          <w:szCs w:val="24"/>
        </w:rPr>
        <w:t>9、异常处理中心：针对回收、清洗，灭菌等过程中出现的异常，采取处理流程，并归纳统计；灭菌不合格物品及时召回，已发放包自动提醒，跟踪，并限制用。</w:t>
      </w:r>
    </w:p>
    <w:p w14:paraId="7598C3E0">
      <w:pPr>
        <w:ind w:firstLine="480" w:firstLineChars="200"/>
        <w:rPr>
          <w:rFonts w:asciiTheme="minorEastAsia" w:hAnsiTheme="minorEastAsia" w:eastAsiaTheme="minorEastAsia"/>
          <w:szCs w:val="24"/>
        </w:rPr>
      </w:pPr>
      <w:r>
        <w:rPr>
          <w:rFonts w:asciiTheme="minorEastAsia" w:hAnsiTheme="minorEastAsia" w:eastAsiaTheme="minorEastAsia"/>
          <w:szCs w:val="24"/>
        </w:rPr>
        <w:t>15.</w:t>
      </w:r>
      <w:r>
        <w:rPr>
          <w:rFonts w:hint="eastAsia" w:asciiTheme="minorEastAsia" w:hAnsiTheme="minorEastAsia" w:eastAsiaTheme="minorEastAsia"/>
          <w:szCs w:val="24"/>
        </w:rPr>
        <w:t>10、系统支持消毒供应室各环节作业（例如：回收统计，清洗统计，配包统计，灭菌统计，发放统计，使用统计，损耗登记统计等）的统计，便于分析。</w:t>
      </w:r>
    </w:p>
    <w:p w14:paraId="465D7B6B">
      <w:pPr>
        <w:ind w:firstLine="480" w:firstLineChars="200"/>
        <w:rPr>
          <w:rFonts w:asciiTheme="minorEastAsia" w:hAnsiTheme="minorEastAsia" w:eastAsiaTheme="minorEastAsia"/>
          <w:szCs w:val="24"/>
        </w:rPr>
      </w:pPr>
      <w:r>
        <w:rPr>
          <w:rFonts w:asciiTheme="minorEastAsia" w:hAnsiTheme="minorEastAsia" w:eastAsiaTheme="minorEastAsia"/>
          <w:szCs w:val="24"/>
        </w:rPr>
        <w:t>15.</w:t>
      </w:r>
      <w:r>
        <w:rPr>
          <w:rFonts w:hint="eastAsia" w:asciiTheme="minorEastAsia" w:hAnsiTheme="minorEastAsia" w:eastAsiaTheme="minorEastAsia"/>
          <w:szCs w:val="24"/>
        </w:rPr>
        <w:t>11、系统支持外来器械统计：包括外来器械公司及器械登记，未归还器械统计、已归还器械统计、提前放行记录统计及生物监测结果统计。</w:t>
      </w:r>
    </w:p>
    <w:p w14:paraId="2B6A3560">
      <w:pPr>
        <w:ind w:firstLine="480" w:firstLineChars="200"/>
        <w:rPr>
          <w:rFonts w:asciiTheme="minorEastAsia" w:hAnsiTheme="minorEastAsia" w:eastAsiaTheme="minorEastAsia"/>
          <w:szCs w:val="24"/>
        </w:rPr>
      </w:pPr>
      <w:r>
        <w:rPr>
          <w:rFonts w:asciiTheme="minorEastAsia" w:hAnsiTheme="minorEastAsia" w:eastAsiaTheme="minorEastAsia"/>
          <w:szCs w:val="24"/>
        </w:rPr>
        <w:t>15.</w:t>
      </w:r>
      <w:r>
        <w:rPr>
          <w:rFonts w:hint="eastAsia" w:asciiTheme="minorEastAsia" w:hAnsiTheme="minorEastAsia" w:eastAsiaTheme="minorEastAsia"/>
          <w:szCs w:val="24"/>
        </w:rPr>
        <w:t>12、预警监控：过期包预警并颜色化显示；清洗和灭菌设备每天第一次使用，提醒操作人员进行做日常维护工作。</w:t>
      </w:r>
    </w:p>
    <w:p w14:paraId="7848BDCF">
      <w:pPr>
        <w:pStyle w:val="5"/>
        <w:numPr>
          <w:ilvl w:val="2"/>
          <w:numId w:val="16"/>
        </w:numPr>
      </w:pPr>
      <w:bookmarkStart w:id="341" w:name="_Toc202539077"/>
      <w:r>
        <w:rPr>
          <w:rFonts w:hint="eastAsia"/>
        </w:rPr>
        <w:t>院前急救中心</w:t>
      </w:r>
      <w:bookmarkEnd w:id="341"/>
    </w:p>
    <w:p w14:paraId="5D72524C">
      <w:pPr>
        <w:pStyle w:val="3"/>
      </w:pPr>
      <w:r>
        <w:rPr>
          <w:rFonts w:hint="eastAsia"/>
        </w:rPr>
        <w:t>实现8台急救车改造。</w:t>
      </w:r>
    </w:p>
    <w:p w14:paraId="79AF6EEA">
      <w:pPr>
        <w:pStyle w:val="6"/>
        <w:numPr>
          <w:ilvl w:val="3"/>
          <w:numId w:val="16"/>
        </w:numPr>
      </w:pPr>
      <w:bookmarkStart w:id="342" w:name="_Toc1915"/>
      <w:r>
        <w:rPr>
          <w:rFonts w:hint="eastAsia"/>
        </w:rPr>
        <w:t>院前急救任务管理</w:t>
      </w:r>
      <w:bookmarkEnd w:id="342"/>
    </w:p>
    <w:p w14:paraId="1EC252EC">
      <w:pPr>
        <w:pStyle w:val="7"/>
        <w:numPr>
          <w:ilvl w:val="4"/>
          <w:numId w:val="16"/>
        </w:numPr>
        <w:rPr>
          <w:sz w:val="30"/>
        </w:rPr>
      </w:pPr>
      <w:r>
        <w:rPr>
          <w:rFonts w:hint="eastAsia"/>
          <w:sz w:val="30"/>
        </w:rPr>
        <w:t>任务下达</w:t>
      </w:r>
    </w:p>
    <w:p w14:paraId="734ACACE">
      <w:pPr>
        <w:pStyle w:val="3"/>
      </w:pPr>
      <w:r>
        <w:rPr>
          <w:rFonts w:hint="eastAsia" w:asciiTheme="minorEastAsia" w:hAnsiTheme="minorEastAsia" w:eastAsiaTheme="minorEastAsia"/>
        </w:rPr>
        <w:t>具备支持以下功能：</w:t>
      </w:r>
    </w:p>
    <w:p w14:paraId="33A56604">
      <w:pPr>
        <w:pStyle w:val="3"/>
      </w:pPr>
      <w:r>
        <w:rPr>
          <w:rFonts w:hint="eastAsia"/>
        </w:rPr>
        <w:t>院前急救任务管理支持创建新增急救任务，派发任务至救护车，并发送消息通知到急救相关人员；支持对进行中任务的实时监控；也支持对历史任务查询管理。</w:t>
      </w:r>
    </w:p>
    <w:p w14:paraId="45C418EA">
      <w:pPr>
        <w:pStyle w:val="3"/>
      </w:pPr>
      <w:r>
        <w:rPr>
          <w:rFonts w:hint="eastAsia"/>
        </w:rPr>
        <w:t>现场地址支持拼音输入和自动补充。</w:t>
      </w:r>
    </w:p>
    <w:p w14:paraId="62A4F047">
      <w:pPr>
        <w:pStyle w:val="3"/>
      </w:pPr>
      <w:r>
        <w:rPr>
          <w:rFonts w:hint="eastAsia"/>
        </w:rPr>
        <w:t>地图默认定位在当前用户所在的机构。输入地址后，地图自动定位到急救地址的位置，选择救护车后，自动规划救护车到急救地址的线路，画出导航线路。</w:t>
      </w:r>
    </w:p>
    <w:p w14:paraId="584911CC">
      <w:pPr>
        <w:pStyle w:val="3"/>
        <w:rPr>
          <w:rFonts w:ascii="仿宋" w:hAnsi="仿宋" w:cs="宋体"/>
          <w:color w:val="0000FF"/>
          <w:szCs w:val="24"/>
        </w:rPr>
      </w:pPr>
      <w:r>
        <w:rPr>
          <w:rFonts w:hint="eastAsia"/>
        </w:rPr>
        <w:t>任务管理，支持待分配任务管理、当前任务管理、今日已完成任务管理、可用急救车管理、暂存任务管理。可以支持各类任务及可用急救车数量直观统计。</w:t>
      </w:r>
    </w:p>
    <w:p w14:paraId="711F4129">
      <w:pPr>
        <w:pStyle w:val="7"/>
        <w:numPr>
          <w:ilvl w:val="4"/>
          <w:numId w:val="16"/>
        </w:numPr>
        <w:rPr>
          <w:sz w:val="30"/>
        </w:rPr>
      </w:pPr>
      <w:r>
        <w:rPr>
          <w:rFonts w:hint="eastAsia"/>
          <w:sz w:val="30"/>
        </w:rPr>
        <w:t>任务查询</w:t>
      </w:r>
    </w:p>
    <w:p w14:paraId="1CE52913">
      <w:pPr>
        <w:pStyle w:val="3"/>
      </w:pPr>
      <w:r>
        <w:rPr>
          <w:rFonts w:hint="eastAsia" w:asciiTheme="minorEastAsia" w:hAnsiTheme="minorEastAsia" w:eastAsiaTheme="minorEastAsia"/>
        </w:rPr>
        <w:t>具备支持以下功能：</w:t>
      </w:r>
    </w:p>
    <w:p w14:paraId="6B0B5B09">
      <w:pPr>
        <w:pStyle w:val="3"/>
      </w:pPr>
      <w:r>
        <w:rPr>
          <w:rFonts w:hint="eastAsia"/>
        </w:rPr>
        <w:t>急救任务查询列表，支持查询、显示当前正在进行的任务和历史任务，支持编辑/查看任务信息、患者病历信息；支持新增绑定多个急救患者；支持查看当前任务和历史任务轨迹。</w:t>
      </w:r>
    </w:p>
    <w:p w14:paraId="62E5E1E6">
      <w:pPr>
        <w:pStyle w:val="3"/>
      </w:pPr>
      <w:r>
        <w:rPr>
          <w:rFonts w:hint="eastAsia"/>
        </w:rPr>
        <w:t>急救任务查询列表，支持多种方式进行检索。导出。如通过任务下达时间、患者信息/病情、呼救电话、急救车、出车结果、任务异常结束原因等条件进行查询检索，支持查询绑定多个病历的任务信息；支持根据病历个数进行检索查询。</w:t>
      </w:r>
    </w:p>
    <w:p w14:paraId="162AFB35">
      <w:pPr>
        <w:pStyle w:val="7"/>
        <w:numPr>
          <w:ilvl w:val="4"/>
          <w:numId w:val="16"/>
        </w:numPr>
        <w:rPr>
          <w:sz w:val="30"/>
        </w:rPr>
      </w:pPr>
      <w:r>
        <w:rPr>
          <w:rFonts w:hint="eastAsia"/>
          <w:sz w:val="30"/>
        </w:rPr>
        <w:t>在途患者</w:t>
      </w:r>
    </w:p>
    <w:p w14:paraId="15975E31">
      <w:pPr>
        <w:pStyle w:val="3"/>
      </w:pPr>
      <w:r>
        <w:rPr>
          <w:rFonts w:hint="eastAsia" w:asciiTheme="minorEastAsia" w:hAnsiTheme="minorEastAsia" w:eastAsiaTheme="minorEastAsia"/>
        </w:rPr>
        <w:t>具备支持以下功能：</w:t>
      </w:r>
    </w:p>
    <w:p w14:paraId="68F670EA">
      <w:pPr>
        <w:pStyle w:val="3"/>
      </w:pPr>
      <w:r>
        <w:rPr>
          <w:rFonts w:hint="eastAsia"/>
        </w:rPr>
        <w:t>当前任务（在途患者），支持通过列表显示急救任务状态、任务开始时间、急救车、急救类型、送往医院、现场地址、随车医生；支持可视化显示当前任务进度并根据任务状态，自动切换显示急救车预计到达现场/医院的预计时间、预计里程数；支持急救患者信息（包含姓名、性别、年龄、联系人、联系电话）、当前症状、生命体征（如皮肤、体温、脉搏、心率、呼吸、收缩压、舒张压、神志、瞳孔等）；支持显示患者院前电子病历信息；支持在地图上显示急救任务路线。</w:t>
      </w:r>
    </w:p>
    <w:p w14:paraId="652E6208">
      <w:pPr>
        <w:pStyle w:val="3"/>
      </w:pPr>
      <w:r>
        <w:rPr>
          <w:rFonts w:hint="eastAsia"/>
        </w:rPr>
        <w:t>当前任务（在途患者），支持实时统计显示当前任务数量、在途救护车数量、今日任务数量及任务平均响应时间。</w:t>
      </w:r>
    </w:p>
    <w:p w14:paraId="4BE47F8E">
      <w:pPr>
        <w:pStyle w:val="7"/>
        <w:numPr>
          <w:ilvl w:val="4"/>
          <w:numId w:val="16"/>
        </w:numPr>
        <w:rPr>
          <w:sz w:val="30"/>
        </w:rPr>
      </w:pPr>
      <w:r>
        <w:rPr>
          <w:rFonts w:hint="eastAsia"/>
          <w:sz w:val="30"/>
        </w:rPr>
        <w:t>患者查询</w:t>
      </w:r>
    </w:p>
    <w:p w14:paraId="3E224C16">
      <w:pPr>
        <w:pStyle w:val="3"/>
      </w:pPr>
      <w:r>
        <w:rPr>
          <w:rFonts w:hint="eastAsia" w:asciiTheme="minorEastAsia" w:hAnsiTheme="minorEastAsia" w:eastAsiaTheme="minorEastAsia"/>
        </w:rPr>
        <w:t>具备支持以下功能：</w:t>
      </w:r>
    </w:p>
    <w:p w14:paraId="0FF0400E">
      <w:pPr>
        <w:spacing w:before="100" w:beforeAutospacing="1" w:after="100" w:afterAutospacing="1"/>
        <w:ind w:firstLine="420"/>
        <w:rPr>
          <w:bCs/>
        </w:rPr>
      </w:pPr>
      <w:r>
        <w:rPr>
          <w:rFonts w:hint="eastAsia"/>
          <w:bCs/>
        </w:rPr>
        <w:t>支持跳转到院前急救电子病历管理模块，查看全部院前转运患者信息及院前急救电子病历。</w:t>
      </w:r>
    </w:p>
    <w:p w14:paraId="57AB4AFA">
      <w:pPr>
        <w:pStyle w:val="7"/>
        <w:numPr>
          <w:ilvl w:val="4"/>
          <w:numId w:val="16"/>
        </w:numPr>
        <w:rPr>
          <w:sz w:val="30"/>
        </w:rPr>
      </w:pPr>
      <w:r>
        <w:rPr>
          <w:rFonts w:hint="eastAsia"/>
          <w:sz w:val="30"/>
        </w:rPr>
        <w:t>车辆管理</w:t>
      </w:r>
    </w:p>
    <w:p w14:paraId="5796ED3F">
      <w:pPr>
        <w:pStyle w:val="3"/>
      </w:pPr>
      <w:r>
        <w:rPr>
          <w:rFonts w:hint="eastAsia" w:asciiTheme="minorEastAsia" w:hAnsiTheme="minorEastAsia" w:eastAsiaTheme="minorEastAsia"/>
        </w:rPr>
        <w:t>具备支持以下功能：</w:t>
      </w:r>
    </w:p>
    <w:p w14:paraId="50AB26D0">
      <w:pPr>
        <w:pStyle w:val="3"/>
      </w:pPr>
      <w:r>
        <w:rPr>
          <w:rFonts w:hint="eastAsia"/>
        </w:rPr>
        <w:t>管理车辆信息，支持新增不同类型的救护车；支持查看车辆当前状态，及出车详情记录；进行车辆出车检查，核对车上药品、物资等的标配数量和实际数量差异，填写备注信息；支持进行车辆监护仪、摄像头、智能手环等车载设备的绑定与解绑操作。支持救护车消毒记录。</w:t>
      </w:r>
    </w:p>
    <w:p w14:paraId="3B057AC8">
      <w:pPr>
        <w:pStyle w:val="3"/>
      </w:pPr>
      <w:r>
        <w:rPr>
          <w:rFonts w:hint="eastAsia"/>
        </w:rPr>
        <w:t>可以根据车牌号，车辆类型，所属机构，车辆状态进行筛选。</w:t>
      </w:r>
    </w:p>
    <w:p w14:paraId="4523A4DD">
      <w:pPr>
        <w:pStyle w:val="7"/>
        <w:numPr>
          <w:ilvl w:val="4"/>
          <w:numId w:val="16"/>
        </w:numPr>
        <w:rPr>
          <w:sz w:val="30"/>
        </w:rPr>
      </w:pPr>
      <w:r>
        <w:rPr>
          <w:rFonts w:hint="eastAsia"/>
          <w:sz w:val="30"/>
        </w:rPr>
        <w:t>院前排班</w:t>
      </w:r>
    </w:p>
    <w:p w14:paraId="67B813C0">
      <w:pPr>
        <w:pStyle w:val="3"/>
      </w:pPr>
      <w:r>
        <w:rPr>
          <w:rFonts w:hint="eastAsia" w:asciiTheme="minorEastAsia" w:hAnsiTheme="minorEastAsia" w:eastAsiaTheme="minorEastAsia"/>
        </w:rPr>
        <w:t>具备支持以下功能：</w:t>
      </w:r>
    </w:p>
    <w:p w14:paraId="4A676288">
      <w:pPr>
        <w:pStyle w:val="3"/>
      </w:pPr>
      <w:r>
        <w:rPr>
          <w:rFonts w:hint="eastAsia"/>
        </w:rPr>
        <w:t>可自定义维护院前急救医生、护士、驾驶员等院前急救人员每周值班表，分别维护当天一线、二线、三线、休息人员情况；并可通过大屏进行可视化展示。</w:t>
      </w:r>
    </w:p>
    <w:p w14:paraId="34EED8A1">
      <w:pPr>
        <w:pStyle w:val="6"/>
        <w:numPr>
          <w:ilvl w:val="3"/>
          <w:numId w:val="16"/>
        </w:numPr>
      </w:pPr>
      <w:bookmarkStart w:id="343" w:name="_Toc16902"/>
      <w:r>
        <w:rPr>
          <w:rFonts w:hint="eastAsia"/>
        </w:rPr>
        <w:t>院前质控统计</w:t>
      </w:r>
      <w:bookmarkEnd w:id="343"/>
    </w:p>
    <w:p w14:paraId="4D918480">
      <w:pPr>
        <w:pStyle w:val="3"/>
      </w:pPr>
      <w:r>
        <w:rPr>
          <w:rFonts w:hint="eastAsia" w:asciiTheme="minorEastAsia" w:hAnsiTheme="minorEastAsia" w:eastAsiaTheme="minorEastAsia"/>
        </w:rPr>
        <w:t>具备支持以下功能：</w:t>
      </w:r>
    </w:p>
    <w:p w14:paraId="68805C13">
      <w:pPr>
        <w:pStyle w:val="3"/>
      </w:pPr>
      <w:r>
        <w:rPr>
          <w:rFonts w:hint="eastAsia"/>
        </w:rPr>
        <w:t>通过柱状图、折线图等统计图的形式，统计展示院前急救质控指标，可自定义统计时间范围、统计刻度等进行如院前医疗急救处置率，紧急医疗救援响应率，现场心肺复苏率，现场心肺复苏插管率，现场心肺复苏电除颤率，现场心电检查率，现场静脉通道建立率，车载呼吸机使用率，及时派车率，及时出车率，平均应急反应时间，院前医疗急救需求满足率，急救车辆完好率，监护型急救车配置率，甲级病历率，病案管理合格率，车载电话装备率，车载视频装备率，车载医疗数据传输终端装备率等指标统计与查看，有效监控急救全业务流程。</w:t>
      </w:r>
    </w:p>
    <w:p w14:paraId="64BC6462">
      <w:pPr>
        <w:pStyle w:val="3"/>
      </w:pPr>
      <w:r>
        <w:rPr>
          <w:rFonts w:hint="eastAsia"/>
        </w:rPr>
        <w:t>满足医院根据自定义的统计时间范围进行病历质控报表数据的统计、查询、与导出的需求。支持进行统计报表的打印。</w:t>
      </w:r>
    </w:p>
    <w:p w14:paraId="22F30AB3">
      <w:pPr>
        <w:pStyle w:val="6"/>
        <w:numPr>
          <w:ilvl w:val="3"/>
          <w:numId w:val="16"/>
        </w:numPr>
      </w:pPr>
      <w:bookmarkStart w:id="344" w:name="_Toc7350"/>
      <w:r>
        <w:rPr>
          <w:rFonts w:hint="eastAsia"/>
        </w:rPr>
        <w:t>急救知识库</w:t>
      </w:r>
      <w:bookmarkEnd w:id="344"/>
    </w:p>
    <w:p w14:paraId="0E1DD195">
      <w:pPr>
        <w:pStyle w:val="3"/>
      </w:pPr>
      <w:r>
        <w:rPr>
          <w:rFonts w:hint="eastAsia" w:asciiTheme="minorEastAsia" w:hAnsiTheme="minorEastAsia" w:eastAsiaTheme="minorEastAsia"/>
        </w:rPr>
        <w:t>具备支持以下功能：</w:t>
      </w:r>
    </w:p>
    <w:p w14:paraId="64EB9119">
      <w:pPr>
        <w:spacing w:before="100" w:beforeAutospacing="1" w:after="100" w:afterAutospacing="1"/>
        <w:ind w:firstLine="420"/>
        <w:rPr>
          <w:bCs/>
        </w:rPr>
      </w:pPr>
      <w:r>
        <w:rPr>
          <w:rFonts w:hint="eastAsia"/>
          <w:bCs/>
        </w:rPr>
        <w:t>为了方便院前急救医生进行急救相关知识体系的自我学习。系统内置了急危重症相关知识、诊断、治疗方案知识库以供查阅。</w:t>
      </w:r>
    </w:p>
    <w:p w14:paraId="1C97B0F2">
      <w:pPr>
        <w:pStyle w:val="6"/>
        <w:numPr>
          <w:ilvl w:val="3"/>
          <w:numId w:val="16"/>
        </w:numPr>
      </w:pPr>
      <w:r>
        <w:rPr>
          <w:rFonts w:hint="eastAsia"/>
        </w:rPr>
        <w:t>院前急救电子病历管理</w:t>
      </w:r>
    </w:p>
    <w:p w14:paraId="407C475C">
      <w:pPr>
        <w:pStyle w:val="3"/>
      </w:pPr>
      <w:r>
        <w:rPr>
          <w:rFonts w:hint="eastAsia" w:asciiTheme="minorEastAsia" w:hAnsiTheme="minorEastAsia" w:eastAsiaTheme="minorEastAsia"/>
        </w:rPr>
        <w:t>具备支持以下功能：</w:t>
      </w:r>
    </w:p>
    <w:p w14:paraId="0111715D">
      <w:pPr>
        <w:pStyle w:val="7"/>
        <w:numPr>
          <w:ilvl w:val="4"/>
          <w:numId w:val="16"/>
        </w:numPr>
        <w:rPr>
          <w:sz w:val="30"/>
        </w:rPr>
      </w:pPr>
      <w:r>
        <w:rPr>
          <w:rFonts w:hint="eastAsia"/>
          <w:sz w:val="30"/>
        </w:rPr>
        <w:t>患者查询</w:t>
      </w:r>
    </w:p>
    <w:p w14:paraId="1C516E77">
      <w:pPr>
        <w:pStyle w:val="3"/>
        <w:rPr>
          <w:rFonts w:asciiTheme="minorEastAsia" w:hAnsiTheme="minorEastAsia" w:eastAsiaTheme="minorEastAsia"/>
        </w:rPr>
      </w:pPr>
      <w:r>
        <w:rPr>
          <w:rFonts w:hint="eastAsia"/>
        </w:rPr>
        <w:t>支持高</w:t>
      </w:r>
      <w:r>
        <w:rPr>
          <w:rFonts w:hint="eastAsia" w:asciiTheme="minorEastAsia" w:hAnsiTheme="minorEastAsia" w:eastAsiaTheme="minorEastAsia"/>
        </w:rPr>
        <w:t>级条件检索，显示全部搜索条件。</w:t>
      </w:r>
    </w:p>
    <w:p w14:paraId="68A26DFE">
      <w:pPr>
        <w:pStyle w:val="3"/>
        <w:rPr>
          <w:rFonts w:asciiTheme="minorEastAsia" w:hAnsiTheme="minorEastAsia" w:eastAsiaTheme="minorEastAsia"/>
        </w:rPr>
      </w:pPr>
      <w:r>
        <w:rPr>
          <w:rFonts w:hint="eastAsia" w:asciiTheme="minorEastAsia" w:hAnsiTheme="minorEastAsia" w:eastAsiaTheme="minorEastAsia"/>
        </w:rPr>
        <w:t>支持模糊输入查询。</w:t>
      </w:r>
    </w:p>
    <w:p w14:paraId="5FE09E66">
      <w:pPr>
        <w:pStyle w:val="7"/>
        <w:numPr>
          <w:ilvl w:val="4"/>
          <w:numId w:val="16"/>
        </w:numPr>
      </w:pPr>
      <w:r>
        <w:rPr>
          <w:rFonts w:hint="eastAsia"/>
        </w:rPr>
        <w:t>病历填写</w:t>
      </w:r>
    </w:p>
    <w:p w14:paraId="0D5ABFC3">
      <w:pPr>
        <w:pStyle w:val="3"/>
      </w:pPr>
      <w:r>
        <w:rPr>
          <w:rFonts w:hint="eastAsia" w:asciiTheme="minorEastAsia" w:hAnsiTheme="minorEastAsia" w:eastAsiaTheme="minorEastAsia"/>
        </w:rPr>
        <w:t>具备支持以下功能：</w:t>
      </w:r>
    </w:p>
    <w:p w14:paraId="393E331A">
      <w:pPr>
        <w:pStyle w:val="8"/>
        <w:numPr>
          <w:ilvl w:val="5"/>
          <w:numId w:val="16"/>
        </w:numPr>
      </w:pPr>
      <w:r>
        <w:rPr>
          <w:rFonts w:hint="eastAsia"/>
        </w:rPr>
        <w:t>病历概览</w:t>
      </w:r>
    </w:p>
    <w:p w14:paraId="2E85C1A5">
      <w:pPr>
        <w:spacing w:before="100" w:beforeAutospacing="1" w:after="100" w:afterAutospacing="1"/>
        <w:ind w:firstLine="420"/>
        <w:rPr>
          <w:bCs/>
        </w:rPr>
      </w:pPr>
      <w:r>
        <w:rPr>
          <w:rFonts w:hint="eastAsia"/>
          <w:bCs/>
        </w:rPr>
        <w:t>显示当前患者病历概览页面。</w:t>
      </w:r>
    </w:p>
    <w:p w14:paraId="09992EAD">
      <w:pPr>
        <w:pStyle w:val="8"/>
        <w:numPr>
          <w:ilvl w:val="5"/>
          <w:numId w:val="16"/>
        </w:numPr>
      </w:pPr>
      <w:r>
        <w:rPr>
          <w:rFonts w:hint="eastAsia"/>
        </w:rPr>
        <w:t>病历填写</w:t>
      </w:r>
    </w:p>
    <w:p w14:paraId="14086F29">
      <w:pPr>
        <w:pStyle w:val="9"/>
        <w:numPr>
          <w:ilvl w:val="6"/>
          <w:numId w:val="16"/>
        </w:numPr>
        <w:rPr>
          <w:bCs w:val="0"/>
          <w:i/>
          <w:iCs/>
        </w:rPr>
      </w:pPr>
      <w:r>
        <w:rPr>
          <w:rFonts w:hint="eastAsia"/>
        </w:rPr>
        <w:t>基本信息</w:t>
      </w:r>
    </w:p>
    <w:p w14:paraId="4EB73E2D">
      <w:pPr>
        <w:spacing w:before="100" w:beforeAutospacing="1" w:after="100" w:afterAutospacing="1"/>
        <w:ind w:firstLine="420"/>
        <w:rPr>
          <w:bCs/>
        </w:rPr>
      </w:pPr>
      <w:r>
        <w:rPr>
          <w:rFonts w:hint="eastAsia"/>
          <w:bCs/>
        </w:rPr>
        <w:t>记录患者基本信息</w:t>
      </w:r>
    </w:p>
    <w:p w14:paraId="0D45423A">
      <w:pPr>
        <w:pStyle w:val="9"/>
        <w:numPr>
          <w:ilvl w:val="6"/>
          <w:numId w:val="16"/>
        </w:numPr>
      </w:pPr>
      <w:r>
        <w:rPr>
          <w:rFonts w:hint="eastAsia"/>
        </w:rPr>
        <w:t>时间轴</w:t>
      </w:r>
    </w:p>
    <w:p w14:paraId="3D0C895A">
      <w:pPr>
        <w:spacing w:before="100" w:beforeAutospacing="1" w:after="100" w:afterAutospacing="1"/>
        <w:ind w:firstLine="420"/>
        <w:rPr>
          <w:bCs/>
        </w:rPr>
      </w:pPr>
      <w:r>
        <w:rPr>
          <w:rFonts w:hint="eastAsia"/>
          <w:bCs/>
        </w:rPr>
        <w:t>显示患者任务时间信息。</w:t>
      </w:r>
    </w:p>
    <w:p w14:paraId="1F996A98">
      <w:pPr>
        <w:pStyle w:val="9"/>
        <w:numPr>
          <w:ilvl w:val="6"/>
          <w:numId w:val="16"/>
        </w:numPr>
      </w:pPr>
      <w:r>
        <w:rPr>
          <w:rFonts w:hint="eastAsia"/>
        </w:rPr>
        <w:t>患者体征</w:t>
      </w:r>
    </w:p>
    <w:p w14:paraId="4E3304B0">
      <w:pPr>
        <w:spacing w:before="100" w:beforeAutospacing="1" w:after="100" w:afterAutospacing="1"/>
        <w:ind w:firstLine="420"/>
        <w:rPr>
          <w:bCs/>
        </w:rPr>
      </w:pPr>
      <w:r>
        <w:rPr>
          <w:rFonts w:hint="eastAsia"/>
          <w:bCs/>
        </w:rPr>
        <w:t>填写修改患者体征信息。可以点击获取监护仪数据。</w:t>
      </w:r>
    </w:p>
    <w:p w14:paraId="1EBC1988">
      <w:pPr>
        <w:pStyle w:val="9"/>
        <w:numPr>
          <w:ilvl w:val="6"/>
          <w:numId w:val="16"/>
        </w:numPr>
      </w:pPr>
      <w:r>
        <w:rPr>
          <w:rFonts w:hint="eastAsia"/>
        </w:rPr>
        <w:t>急救病史</w:t>
      </w:r>
    </w:p>
    <w:p w14:paraId="48F797BF">
      <w:pPr>
        <w:spacing w:before="100" w:beforeAutospacing="1" w:after="100" w:afterAutospacing="1"/>
        <w:ind w:firstLine="420"/>
        <w:rPr>
          <w:bCs/>
        </w:rPr>
      </w:pPr>
      <w:r>
        <w:rPr>
          <w:rFonts w:hint="eastAsia"/>
          <w:bCs/>
        </w:rPr>
        <w:t>填写患者病史信息，可以点击内容模板选择快速填写。</w:t>
      </w:r>
    </w:p>
    <w:p w14:paraId="125418D0">
      <w:pPr>
        <w:pStyle w:val="9"/>
        <w:numPr>
          <w:ilvl w:val="6"/>
          <w:numId w:val="16"/>
        </w:numPr>
      </w:pPr>
      <w:r>
        <w:rPr>
          <w:rFonts w:hint="eastAsia"/>
        </w:rPr>
        <w:t>心电图</w:t>
      </w:r>
    </w:p>
    <w:p w14:paraId="2303D201">
      <w:pPr>
        <w:pStyle w:val="3"/>
      </w:pPr>
      <w:r>
        <w:rPr>
          <w:rFonts w:hint="eastAsia"/>
        </w:rPr>
        <w:t>首次录入时间：点击选择时间。</w:t>
      </w:r>
    </w:p>
    <w:p w14:paraId="21D33FAD">
      <w:pPr>
        <w:pStyle w:val="3"/>
      </w:pPr>
      <w:r>
        <w:rPr>
          <w:rFonts w:hint="eastAsia"/>
        </w:rPr>
        <w:t>心电图文件：点击上传图片，可以多次上传。上传之后可以进行删除，下载，预览操作。</w:t>
      </w:r>
    </w:p>
    <w:p w14:paraId="730D4EC6">
      <w:pPr>
        <w:pStyle w:val="3"/>
      </w:pPr>
      <w:r>
        <w:rPr>
          <w:rFonts w:hint="eastAsia"/>
        </w:rPr>
        <w:t>检查结果：填写心电图检查结果。</w:t>
      </w:r>
    </w:p>
    <w:p w14:paraId="6231B486">
      <w:pPr>
        <w:pStyle w:val="9"/>
        <w:numPr>
          <w:ilvl w:val="6"/>
          <w:numId w:val="16"/>
        </w:numPr>
      </w:pPr>
      <w:r>
        <w:rPr>
          <w:rFonts w:hint="eastAsia"/>
        </w:rPr>
        <w:t>初步诊断</w:t>
      </w:r>
    </w:p>
    <w:p w14:paraId="68476EE5">
      <w:pPr>
        <w:pStyle w:val="3"/>
      </w:pPr>
      <w:r>
        <w:rPr>
          <w:rFonts w:hint="eastAsia"/>
        </w:rPr>
        <w:t>诊断分3级，其中二级只可选择是否疑似，三级可以选择诊断和是否疑似。选择的诊断展示在下方诊断结果框里。</w:t>
      </w:r>
    </w:p>
    <w:p w14:paraId="1D85C780">
      <w:pPr>
        <w:pStyle w:val="3"/>
      </w:pPr>
      <w:r>
        <w:rPr>
          <w:rFonts w:hint="eastAsia"/>
        </w:rPr>
        <w:t>可以在诊断结果框里删除已选择的诊断，或者修改诊断的疑似状态。</w:t>
      </w:r>
    </w:p>
    <w:p w14:paraId="49CA6AC0">
      <w:pPr>
        <w:pStyle w:val="3"/>
      </w:pPr>
      <w:r>
        <w:rPr>
          <w:rFonts w:hint="eastAsia"/>
        </w:rPr>
        <w:t>支持搜索快速查找诊断结果。</w:t>
      </w:r>
    </w:p>
    <w:p w14:paraId="1A4C9F91">
      <w:pPr>
        <w:pStyle w:val="9"/>
        <w:numPr>
          <w:ilvl w:val="6"/>
          <w:numId w:val="16"/>
        </w:numPr>
      </w:pPr>
      <w:r>
        <w:rPr>
          <w:rFonts w:hint="eastAsia"/>
        </w:rPr>
        <w:t>急救措施</w:t>
      </w:r>
    </w:p>
    <w:p w14:paraId="47421705">
      <w:pPr>
        <w:spacing w:before="100" w:beforeAutospacing="1" w:after="100" w:afterAutospacing="1"/>
        <w:ind w:firstLine="420"/>
        <w:rPr>
          <w:bCs/>
        </w:rPr>
      </w:pPr>
      <w:r>
        <w:rPr>
          <w:rFonts w:hint="eastAsia"/>
          <w:bCs/>
        </w:rPr>
        <w:t>支持录入急救措施。</w:t>
      </w:r>
    </w:p>
    <w:p w14:paraId="63F1C9A9">
      <w:pPr>
        <w:pStyle w:val="9"/>
        <w:numPr>
          <w:ilvl w:val="6"/>
          <w:numId w:val="16"/>
        </w:numPr>
      </w:pPr>
      <w:r>
        <w:rPr>
          <w:rFonts w:hint="eastAsia"/>
        </w:rPr>
        <w:t>诊疗总结</w:t>
      </w:r>
    </w:p>
    <w:p w14:paraId="72EA09F6">
      <w:pPr>
        <w:spacing w:before="100" w:beforeAutospacing="1" w:after="100" w:afterAutospacing="1"/>
        <w:ind w:firstLine="420"/>
        <w:rPr>
          <w:bCs/>
        </w:rPr>
      </w:pPr>
      <w:r>
        <w:rPr>
          <w:rFonts w:hint="eastAsia"/>
          <w:bCs/>
        </w:rPr>
        <w:t>输入诊疗总结内容。支持模板快速录入。</w:t>
      </w:r>
    </w:p>
    <w:p w14:paraId="48F185ED">
      <w:pPr>
        <w:pStyle w:val="9"/>
        <w:numPr>
          <w:ilvl w:val="6"/>
          <w:numId w:val="16"/>
        </w:numPr>
      </w:pPr>
      <w:r>
        <w:rPr>
          <w:rFonts w:hint="eastAsia"/>
        </w:rPr>
        <w:t>照片视频</w:t>
      </w:r>
    </w:p>
    <w:p w14:paraId="585FB98B">
      <w:pPr>
        <w:spacing w:before="100" w:beforeAutospacing="1" w:after="100" w:afterAutospacing="1"/>
        <w:ind w:firstLine="420"/>
        <w:rPr>
          <w:bCs/>
        </w:rPr>
      </w:pPr>
      <w:r>
        <w:rPr>
          <w:rFonts w:hint="eastAsia"/>
          <w:bCs/>
        </w:rPr>
        <w:t>点击添加照片/图片，弹出文件上传窗口。</w:t>
      </w:r>
    </w:p>
    <w:p w14:paraId="33B401AE">
      <w:pPr>
        <w:pStyle w:val="8"/>
        <w:numPr>
          <w:ilvl w:val="5"/>
          <w:numId w:val="16"/>
        </w:numPr>
      </w:pPr>
      <w:r>
        <w:rPr>
          <w:rFonts w:hint="eastAsia"/>
        </w:rPr>
        <w:t>院前评分</w:t>
      </w:r>
    </w:p>
    <w:p w14:paraId="6125EDE2">
      <w:pPr>
        <w:pStyle w:val="3"/>
      </w:pPr>
      <w:r>
        <w:rPr>
          <w:rFonts w:hint="eastAsia"/>
        </w:rPr>
        <w:t>支持新增、编辑、删除、查询院前评分。</w:t>
      </w:r>
    </w:p>
    <w:p w14:paraId="4ABC03F2">
      <w:pPr>
        <w:pStyle w:val="8"/>
        <w:numPr>
          <w:ilvl w:val="5"/>
          <w:numId w:val="16"/>
        </w:numPr>
        <w:ind w:left="1296"/>
      </w:pPr>
      <w:r>
        <w:rPr>
          <w:rFonts w:hint="eastAsia"/>
        </w:rPr>
        <w:t>病历预览</w:t>
      </w:r>
    </w:p>
    <w:p w14:paraId="40D54151">
      <w:pPr>
        <w:pStyle w:val="3"/>
      </w:pPr>
      <w:r>
        <w:rPr>
          <w:rFonts w:hint="eastAsia"/>
        </w:rPr>
        <w:t>实现急诊病历的预览。</w:t>
      </w:r>
    </w:p>
    <w:p w14:paraId="40BDB1BC">
      <w:pPr>
        <w:pStyle w:val="3"/>
      </w:pPr>
      <w:r>
        <w:rPr>
          <w:rFonts w:hint="eastAsia"/>
        </w:rPr>
        <w:t>进行院前病历提交操作。</w:t>
      </w:r>
    </w:p>
    <w:p w14:paraId="1DA78829">
      <w:pPr>
        <w:pStyle w:val="3"/>
      </w:pPr>
      <w:r>
        <w:rPr>
          <w:rFonts w:hint="eastAsia"/>
        </w:rPr>
        <w:t>审核通过后病历不可修改，审核不通过，驳回进行修改。</w:t>
      </w:r>
    </w:p>
    <w:p w14:paraId="1B4B448E">
      <w:pPr>
        <w:pStyle w:val="3"/>
      </w:pPr>
      <w:r>
        <w:rPr>
          <w:rFonts w:hint="eastAsia"/>
        </w:rPr>
        <w:t>点击打印按钮，打印病历预览内容。</w:t>
      </w:r>
    </w:p>
    <w:p w14:paraId="54CEC724">
      <w:pPr>
        <w:pStyle w:val="8"/>
        <w:numPr>
          <w:ilvl w:val="5"/>
          <w:numId w:val="16"/>
        </w:numPr>
      </w:pPr>
      <w:r>
        <w:rPr>
          <w:rFonts w:hint="eastAsia"/>
        </w:rPr>
        <w:t>到院交接</w:t>
      </w:r>
    </w:p>
    <w:p w14:paraId="5FC115B3">
      <w:pPr>
        <w:pStyle w:val="3"/>
      </w:pPr>
      <w:r>
        <w:rPr>
          <w:rFonts w:hint="eastAsia"/>
        </w:rPr>
        <w:t>院前签字：点击打开签字窗口。签字保存后显示在院前急救人员签名处。</w:t>
      </w:r>
    </w:p>
    <w:p w14:paraId="6ED433DC">
      <w:pPr>
        <w:pStyle w:val="3"/>
      </w:pPr>
      <w:r>
        <w:rPr>
          <w:rFonts w:hint="eastAsia"/>
        </w:rPr>
        <w:t>院内签字：点击打开签字窗口。签字保存后显示在院内急救人员签名处。</w:t>
      </w:r>
    </w:p>
    <w:p w14:paraId="558432E1">
      <w:pPr>
        <w:pStyle w:val="8"/>
        <w:numPr>
          <w:ilvl w:val="5"/>
          <w:numId w:val="16"/>
        </w:numPr>
      </w:pPr>
      <w:r>
        <w:rPr>
          <w:rFonts w:hint="eastAsia"/>
        </w:rPr>
        <w:t>知情同意</w:t>
      </w:r>
    </w:p>
    <w:p w14:paraId="45D68F12">
      <w:pPr>
        <w:pStyle w:val="3"/>
      </w:pPr>
      <w:r>
        <w:rPr>
          <w:rFonts w:hint="eastAsia"/>
        </w:rPr>
        <w:t>签字：点击打开签字窗口，保存在家属签字处。</w:t>
      </w:r>
    </w:p>
    <w:p w14:paraId="710B85BB">
      <w:pPr>
        <w:pStyle w:val="3"/>
      </w:pPr>
      <w:r>
        <w:rPr>
          <w:rFonts w:hint="eastAsia"/>
        </w:rPr>
        <w:t>打印：点击打印表单信息。</w:t>
      </w:r>
    </w:p>
    <w:p w14:paraId="34FEF888">
      <w:pPr>
        <w:pStyle w:val="8"/>
        <w:numPr>
          <w:ilvl w:val="5"/>
          <w:numId w:val="16"/>
        </w:numPr>
      </w:pPr>
      <w:r>
        <w:rPr>
          <w:rFonts w:hint="eastAsia"/>
        </w:rPr>
        <w:t>心电信息</w:t>
      </w:r>
    </w:p>
    <w:p w14:paraId="52C3ABF0">
      <w:pPr>
        <w:spacing w:before="100" w:beforeAutospacing="1" w:after="100" w:afterAutospacing="1"/>
        <w:ind w:firstLine="420"/>
        <w:rPr>
          <w:szCs w:val="24"/>
        </w:rPr>
      </w:pPr>
      <w:r>
        <w:rPr>
          <w:rFonts w:hint="eastAsia"/>
          <w:bCs/>
        </w:rPr>
        <w:t>显示已上传的心电图和检查结果。</w:t>
      </w:r>
    </w:p>
    <w:p w14:paraId="3DDF8D47">
      <w:pPr>
        <w:pStyle w:val="7"/>
        <w:numPr>
          <w:ilvl w:val="4"/>
          <w:numId w:val="16"/>
        </w:numPr>
        <w:rPr>
          <w:sz w:val="30"/>
        </w:rPr>
      </w:pPr>
      <w:r>
        <w:rPr>
          <w:rFonts w:hint="eastAsia"/>
          <w:sz w:val="30"/>
        </w:rPr>
        <w:t>质控</w:t>
      </w:r>
    </w:p>
    <w:p w14:paraId="48398BA3">
      <w:pPr>
        <w:pStyle w:val="3"/>
      </w:pPr>
      <w:r>
        <w:rPr>
          <w:rFonts w:hint="eastAsia" w:asciiTheme="minorEastAsia" w:hAnsiTheme="minorEastAsia" w:eastAsiaTheme="minorEastAsia"/>
        </w:rPr>
        <w:t>具备支持以下功能：</w:t>
      </w:r>
    </w:p>
    <w:p w14:paraId="31B70E6A">
      <w:pPr>
        <w:ind w:firstLine="480" w:firstLineChars="200"/>
        <w:rPr>
          <w:szCs w:val="24"/>
        </w:rPr>
      </w:pPr>
      <w:r>
        <w:rPr>
          <w:rFonts w:ascii="Times New Roman" w:hAnsi="Times New Roman"/>
          <w:szCs w:val="24"/>
        </w:rPr>
        <w:t>1. 关键字段非空核查</w:t>
      </w:r>
    </w:p>
    <w:p w14:paraId="52AC8872">
      <w:pPr>
        <w:ind w:firstLine="480" w:firstLineChars="200"/>
        <w:rPr>
          <w:szCs w:val="24"/>
        </w:rPr>
      </w:pPr>
      <w:r>
        <w:rPr>
          <w:rFonts w:ascii="Times New Roman" w:hAnsi="Times New Roman"/>
          <w:szCs w:val="24"/>
        </w:rPr>
        <w:t>配置与提醒：支持管理员配置病历关键字段（如患者信息、主诉、生命体征等）的非空规则，系统在医生填写时实时校验缺失项，提交时自动拦截未完成项，并精准定位问题位置（如高亮缺失字段）。</w:t>
      </w:r>
    </w:p>
    <w:p w14:paraId="18511235">
      <w:pPr>
        <w:ind w:firstLine="480" w:firstLineChars="200"/>
        <w:rPr>
          <w:szCs w:val="24"/>
        </w:rPr>
      </w:pPr>
      <w:r>
        <w:rPr>
          <w:rFonts w:ascii="Times New Roman" w:hAnsi="Times New Roman"/>
          <w:szCs w:val="24"/>
        </w:rPr>
        <w:t>2. 质控规则配置与自动核查</w:t>
      </w:r>
    </w:p>
    <w:p w14:paraId="6803826C">
      <w:pPr>
        <w:ind w:firstLine="480" w:firstLineChars="200"/>
        <w:rPr>
          <w:szCs w:val="24"/>
        </w:rPr>
      </w:pPr>
      <w:r>
        <w:rPr>
          <w:rFonts w:ascii="Times New Roman" w:hAnsi="Times New Roman"/>
          <w:szCs w:val="24"/>
        </w:rPr>
        <w:t>规则库管理：支持自定义质控规则（如逻辑矛盾、数值范围、术语规范等），例如“诊断与症状需一致”“必填项完整性”等。</w:t>
      </w:r>
    </w:p>
    <w:p w14:paraId="66FC4CDF">
      <w:pPr>
        <w:ind w:firstLine="480" w:firstLineChars="200"/>
        <w:rPr>
          <w:szCs w:val="24"/>
        </w:rPr>
      </w:pPr>
      <w:r>
        <w:rPr>
          <w:rFonts w:ascii="Times New Roman" w:hAnsi="Times New Roman"/>
          <w:szCs w:val="24"/>
        </w:rPr>
        <w:t>缺陷自动生成：基于规则自动核查病历，生成缺陷清单（含问题描述、定位及建议），医生在填写过程中可实时自评并修正问题。</w:t>
      </w:r>
    </w:p>
    <w:p w14:paraId="3369098A">
      <w:pPr>
        <w:ind w:firstLine="480" w:firstLineChars="200"/>
        <w:rPr>
          <w:szCs w:val="24"/>
        </w:rPr>
      </w:pPr>
      <w:r>
        <w:rPr>
          <w:rFonts w:ascii="Times New Roman" w:hAnsi="Times New Roman"/>
          <w:szCs w:val="24"/>
        </w:rPr>
        <w:t>3. 科室质控审核</w:t>
      </w:r>
    </w:p>
    <w:p w14:paraId="6FDD2C0B">
      <w:pPr>
        <w:ind w:firstLine="480" w:firstLineChars="200"/>
        <w:rPr>
          <w:szCs w:val="24"/>
        </w:rPr>
      </w:pPr>
      <w:r>
        <w:rPr>
          <w:rFonts w:ascii="Times New Roman" w:hAnsi="Times New Roman"/>
          <w:szCs w:val="24"/>
        </w:rPr>
        <w:t>自动化核查：科室质控员审核时，系统自动执行规则库检查，标记缺陷。</w:t>
      </w:r>
    </w:p>
    <w:p w14:paraId="6F0CA575">
      <w:pPr>
        <w:ind w:firstLine="480" w:firstLineChars="200"/>
        <w:rPr>
          <w:szCs w:val="24"/>
        </w:rPr>
      </w:pPr>
      <w:r>
        <w:rPr>
          <w:rFonts w:ascii="Times New Roman" w:hAnsi="Times New Roman"/>
          <w:szCs w:val="24"/>
        </w:rPr>
        <w:t>人工补充质控：支持质控员手动添加问题备注，结合自动核查结果完成审核。</w:t>
      </w:r>
    </w:p>
    <w:p w14:paraId="37D0ACBC">
      <w:pPr>
        <w:ind w:firstLine="480" w:firstLineChars="200"/>
        <w:rPr>
          <w:szCs w:val="24"/>
        </w:rPr>
      </w:pPr>
      <w:r>
        <w:rPr>
          <w:rFonts w:ascii="Times New Roman" w:hAnsi="Times New Roman"/>
          <w:szCs w:val="24"/>
        </w:rPr>
        <w:t>批量审核：支持科室质控员按条件筛选病历，一键批量审核或驳回。</w:t>
      </w:r>
    </w:p>
    <w:p w14:paraId="491F5802">
      <w:pPr>
        <w:ind w:firstLine="480" w:firstLineChars="200"/>
        <w:rPr>
          <w:szCs w:val="24"/>
        </w:rPr>
      </w:pPr>
      <w:r>
        <w:rPr>
          <w:rFonts w:ascii="Times New Roman" w:hAnsi="Times New Roman"/>
          <w:szCs w:val="24"/>
        </w:rPr>
        <w:t>4. 质控</w:t>
      </w:r>
      <w:r>
        <w:rPr>
          <w:rFonts w:hint="eastAsia" w:ascii="Times New Roman" w:hAnsi="Times New Roman"/>
          <w:szCs w:val="24"/>
        </w:rPr>
        <w:t>报告</w:t>
      </w:r>
      <w:r>
        <w:rPr>
          <w:rFonts w:ascii="Times New Roman" w:hAnsi="Times New Roman"/>
          <w:szCs w:val="24"/>
        </w:rPr>
        <w:t>生成</w:t>
      </w:r>
    </w:p>
    <w:p w14:paraId="2162F1E7">
      <w:pPr>
        <w:ind w:firstLine="480" w:firstLineChars="200"/>
        <w:rPr>
          <w:szCs w:val="24"/>
        </w:rPr>
      </w:pPr>
      <w:r>
        <w:rPr>
          <w:rFonts w:ascii="Times New Roman" w:hAnsi="Times New Roman"/>
          <w:szCs w:val="24"/>
        </w:rPr>
        <w:t>自动生成</w:t>
      </w:r>
      <w:r>
        <w:rPr>
          <w:rFonts w:hint="eastAsia" w:ascii="Times New Roman" w:hAnsi="Times New Roman"/>
          <w:szCs w:val="24"/>
        </w:rPr>
        <w:t>报告</w:t>
      </w:r>
      <w:r>
        <w:rPr>
          <w:rFonts w:ascii="Times New Roman" w:hAnsi="Times New Roman"/>
          <w:szCs w:val="24"/>
        </w:rPr>
        <w:t>：系统根据质控结果生成</w:t>
      </w:r>
      <w:r>
        <w:rPr>
          <w:rFonts w:hint="eastAsia" w:ascii="Times New Roman" w:hAnsi="Times New Roman"/>
          <w:szCs w:val="24"/>
        </w:rPr>
        <w:t>质控报告</w:t>
      </w:r>
      <w:r>
        <w:rPr>
          <w:rFonts w:ascii="Times New Roman" w:hAnsi="Times New Roman"/>
          <w:szCs w:val="24"/>
        </w:rPr>
        <w:t>，支持在线查看。</w:t>
      </w:r>
    </w:p>
    <w:p w14:paraId="3E655E4C">
      <w:pPr>
        <w:ind w:firstLine="480" w:firstLineChars="200"/>
        <w:rPr>
          <w:szCs w:val="24"/>
        </w:rPr>
      </w:pPr>
      <w:r>
        <w:rPr>
          <w:rFonts w:ascii="Times New Roman" w:hAnsi="Times New Roman"/>
          <w:szCs w:val="24"/>
        </w:rPr>
        <w:t>5. 随机抽查病历</w:t>
      </w:r>
    </w:p>
    <w:p w14:paraId="3D14A0EE">
      <w:pPr>
        <w:ind w:firstLine="480" w:firstLineChars="200"/>
        <w:rPr>
          <w:szCs w:val="24"/>
        </w:rPr>
      </w:pPr>
      <w:r>
        <w:rPr>
          <w:rFonts w:ascii="Times New Roman" w:hAnsi="Times New Roman"/>
          <w:szCs w:val="24"/>
        </w:rPr>
        <w:t>随机抽检：支持按数量随机抽取病历，供质控员重点核查，确保抽检公平性。</w:t>
      </w:r>
    </w:p>
    <w:p w14:paraId="75899955">
      <w:pPr>
        <w:ind w:firstLine="480" w:firstLineChars="200"/>
        <w:rPr>
          <w:szCs w:val="24"/>
        </w:rPr>
      </w:pPr>
      <w:r>
        <w:rPr>
          <w:rFonts w:ascii="Times New Roman" w:hAnsi="Times New Roman"/>
          <w:szCs w:val="24"/>
        </w:rPr>
        <w:t>6. 病历驳回与修正</w:t>
      </w:r>
    </w:p>
    <w:p w14:paraId="1DAA213E">
      <w:pPr>
        <w:ind w:firstLine="480" w:firstLineChars="200"/>
        <w:rPr>
          <w:szCs w:val="24"/>
        </w:rPr>
      </w:pPr>
      <w:r>
        <w:rPr>
          <w:rFonts w:ascii="Times New Roman" w:hAnsi="Times New Roman"/>
          <w:szCs w:val="24"/>
        </w:rPr>
        <w:t>闭环管理：被驳回病历自动关联，医生可修改后重新提交审核，系统记录修订痕迹。</w:t>
      </w:r>
    </w:p>
    <w:p w14:paraId="7CA98ACE">
      <w:pPr>
        <w:pStyle w:val="6"/>
        <w:numPr>
          <w:ilvl w:val="3"/>
          <w:numId w:val="16"/>
        </w:numPr>
      </w:pPr>
      <w:bookmarkStart w:id="345" w:name="_Toc27168"/>
      <w:r>
        <w:rPr>
          <w:rFonts w:hint="eastAsia"/>
        </w:rPr>
        <w:t>院前急救移动应用</w:t>
      </w:r>
      <w:bookmarkEnd w:id="345"/>
    </w:p>
    <w:p w14:paraId="092544F6">
      <w:pPr>
        <w:ind w:firstLine="420"/>
        <w:rPr>
          <w:bCs/>
        </w:rPr>
      </w:pPr>
      <w:r>
        <w:rPr>
          <w:rFonts w:hint="eastAsia"/>
          <w:bCs/>
        </w:rPr>
        <w:t>院前救护车配置院前急救移动端，辅助完成院前救治相关工作。</w:t>
      </w:r>
    </w:p>
    <w:p w14:paraId="0B0C0109">
      <w:pPr>
        <w:ind w:firstLine="420"/>
        <w:rPr>
          <w:rFonts w:ascii="宋体" w:hAnsi="宋体"/>
          <w:b/>
          <w:color w:val="4F81BD"/>
          <w:kern w:val="0"/>
          <w:szCs w:val="32"/>
        </w:rPr>
      </w:pPr>
      <w:r>
        <w:rPr>
          <w:rFonts w:hint="eastAsia"/>
          <w:bCs/>
        </w:rPr>
        <w:t>供本院随车医生使用，通过手上机移动端记录转运时间、回传当前位置、自动采集生命体征，实时传输监护波形，通过便捷点选，快速完成规范化急救病历，并实时回传院内，通过音视频获得院内专家指导。</w:t>
      </w:r>
    </w:p>
    <w:p w14:paraId="62D271C8">
      <w:pPr>
        <w:pStyle w:val="7"/>
        <w:numPr>
          <w:ilvl w:val="4"/>
          <w:numId w:val="16"/>
        </w:numPr>
        <w:rPr>
          <w:sz w:val="30"/>
        </w:rPr>
      </w:pPr>
      <w:r>
        <w:rPr>
          <w:rFonts w:hint="eastAsia"/>
          <w:sz w:val="30"/>
        </w:rPr>
        <w:t>急救任务</w:t>
      </w:r>
    </w:p>
    <w:p w14:paraId="44154F27">
      <w:pPr>
        <w:pStyle w:val="3"/>
      </w:pPr>
      <w:r>
        <w:rPr>
          <w:rFonts w:hint="eastAsia" w:asciiTheme="minorEastAsia" w:hAnsiTheme="minorEastAsia" w:eastAsiaTheme="minorEastAsia"/>
        </w:rPr>
        <w:t>具备支持以下功能：</w:t>
      </w:r>
    </w:p>
    <w:p w14:paraId="23E5C104">
      <w:pPr>
        <w:ind w:firstLine="420"/>
        <w:rPr>
          <w:bCs/>
        </w:rPr>
      </w:pPr>
      <w:r>
        <w:rPr>
          <w:rFonts w:hint="eastAsia"/>
          <w:bCs/>
        </w:rPr>
        <w:t>救护车绑定：急救任务首页会判断当前角色是否绑定救护车，如果没有绑定会打开救护车列表界面，用户可在此绑定救护车。</w:t>
      </w:r>
    </w:p>
    <w:p w14:paraId="6A868393">
      <w:pPr>
        <w:ind w:firstLine="420"/>
        <w:rPr>
          <w:bCs/>
        </w:rPr>
      </w:pPr>
      <w:r>
        <w:rPr>
          <w:rFonts w:hint="eastAsia"/>
          <w:bCs/>
        </w:rPr>
        <w:t>任务接收：当用户已绑定救护车时，会跳转至急救任务中，查看未被接受的任务和新建任务。</w:t>
      </w:r>
    </w:p>
    <w:p w14:paraId="3259FBA6">
      <w:pPr>
        <w:ind w:firstLine="420"/>
        <w:rPr>
          <w:bCs/>
        </w:rPr>
      </w:pPr>
      <w:r>
        <w:rPr>
          <w:rFonts w:hint="eastAsia"/>
          <w:bCs/>
        </w:rPr>
        <w:t>新建急救任务：此界面为新建急救任务界面，用户可在此新建急救任务。用户可在此界面修改当前任务状态和查看患者病历，支持任务取消，录入原因。</w:t>
      </w:r>
    </w:p>
    <w:p w14:paraId="20B9A602">
      <w:pPr>
        <w:pStyle w:val="7"/>
        <w:numPr>
          <w:ilvl w:val="4"/>
          <w:numId w:val="16"/>
        </w:numPr>
        <w:rPr>
          <w:sz w:val="30"/>
        </w:rPr>
      </w:pPr>
      <w:r>
        <w:rPr>
          <w:rFonts w:hint="eastAsia"/>
          <w:sz w:val="30"/>
        </w:rPr>
        <w:t>急救患者</w:t>
      </w:r>
    </w:p>
    <w:p w14:paraId="18049A9E">
      <w:pPr>
        <w:pStyle w:val="3"/>
      </w:pPr>
      <w:r>
        <w:rPr>
          <w:rFonts w:hint="eastAsia" w:asciiTheme="minorEastAsia" w:hAnsiTheme="minorEastAsia" w:eastAsiaTheme="minorEastAsia"/>
        </w:rPr>
        <w:t>具备支持以下功能：</w:t>
      </w:r>
    </w:p>
    <w:p w14:paraId="1085D224">
      <w:pPr>
        <w:ind w:firstLine="420"/>
        <w:rPr>
          <w:szCs w:val="24"/>
        </w:rPr>
      </w:pPr>
      <w:r>
        <w:rPr>
          <w:rFonts w:hint="eastAsia"/>
          <w:szCs w:val="24"/>
        </w:rPr>
        <w:t>急救患者列表：急救患者列表界面，用户可在此查看所有患者列表</w:t>
      </w:r>
    </w:p>
    <w:p w14:paraId="388F7858">
      <w:pPr>
        <w:ind w:firstLine="420"/>
        <w:rPr>
          <w:szCs w:val="24"/>
        </w:rPr>
      </w:pPr>
      <w:r>
        <w:rPr>
          <w:rFonts w:hint="eastAsia"/>
          <w:szCs w:val="24"/>
        </w:rPr>
        <w:t>病历填写基本信息</w:t>
      </w:r>
    </w:p>
    <w:p w14:paraId="3C0E49EF">
      <w:pPr>
        <w:ind w:firstLine="420"/>
        <w:rPr>
          <w:szCs w:val="24"/>
        </w:rPr>
      </w:pPr>
      <w:r>
        <w:rPr>
          <w:rFonts w:hint="eastAsia"/>
          <w:szCs w:val="24"/>
        </w:rPr>
        <w:t>时间轴</w:t>
      </w:r>
    </w:p>
    <w:p w14:paraId="52FFC368">
      <w:pPr>
        <w:ind w:firstLine="420"/>
        <w:rPr>
          <w:szCs w:val="24"/>
        </w:rPr>
      </w:pPr>
      <w:r>
        <w:rPr>
          <w:rFonts w:hint="eastAsia"/>
          <w:szCs w:val="24"/>
        </w:rPr>
        <w:t>急救病史</w:t>
      </w:r>
    </w:p>
    <w:p w14:paraId="1261893F">
      <w:pPr>
        <w:ind w:firstLine="420"/>
        <w:rPr>
          <w:szCs w:val="24"/>
        </w:rPr>
      </w:pPr>
      <w:r>
        <w:rPr>
          <w:rFonts w:hint="eastAsia"/>
          <w:szCs w:val="24"/>
        </w:rPr>
        <w:t>患者评分：点击某一项即可新增一条相对应的评分项</w:t>
      </w:r>
    </w:p>
    <w:p w14:paraId="27AA6981">
      <w:pPr>
        <w:ind w:firstLine="420"/>
        <w:rPr>
          <w:szCs w:val="24"/>
        </w:rPr>
      </w:pPr>
      <w:r>
        <w:rPr>
          <w:rFonts w:hint="eastAsia"/>
          <w:szCs w:val="24"/>
        </w:rPr>
        <w:t>体格检查</w:t>
      </w:r>
    </w:p>
    <w:p w14:paraId="61622865">
      <w:pPr>
        <w:ind w:firstLine="420"/>
        <w:rPr>
          <w:szCs w:val="24"/>
        </w:rPr>
      </w:pPr>
      <w:r>
        <w:rPr>
          <w:rFonts w:hint="eastAsia"/>
          <w:szCs w:val="24"/>
        </w:rPr>
        <w:t>辅助检查：支持查看患者上传、查看、修改患者院前心电图报告，绑定车载心电图机后可以进行心电图报告实时获取。</w:t>
      </w:r>
    </w:p>
    <w:p w14:paraId="61A5235A">
      <w:pPr>
        <w:ind w:firstLine="420"/>
        <w:rPr>
          <w:szCs w:val="24"/>
        </w:rPr>
      </w:pPr>
      <w:r>
        <w:rPr>
          <w:rFonts w:hint="eastAsia"/>
          <w:szCs w:val="24"/>
        </w:rPr>
        <w:t>初步诊断：支持院前初步诊断记录，可通过模糊输入进行检索；支持根据疾病诊断一级分类，呼吸系统疾病、心血管疾病、脑血管疾病、其他神经系统疾病、消化系统疾病、内分泌代谢性疾病、泌尿生殖系统疾病、肌肉骨骼系统和结缔组织疾病、血液病、肿瘤、传染病、精神和行为障碍、水电解质紊乱、免疫系统疾病、妇科疾病、产科疾病、休克、皮肤疾患、衰竭、儿科疾病、五官科及眼科疾病、化学物理伤害、中毒、创伤性疾病、原因不明疾病、死亡诊断、过敏、其他疾病，进行二级诊断快速点选；支持标记为疑似诊断。</w:t>
      </w:r>
    </w:p>
    <w:p w14:paraId="00B1C75C">
      <w:pPr>
        <w:ind w:firstLine="420"/>
        <w:rPr>
          <w:szCs w:val="24"/>
        </w:rPr>
      </w:pPr>
      <w:r>
        <w:rPr>
          <w:rFonts w:hint="eastAsia"/>
          <w:szCs w:val="24"/>
        </w:rPr>
        <w:t>照片视频：支持上传患者照片、视频、录音信息。</w:t>
      </w:r>
    </w:p>
    <w:p w14:paraId="37A1BF0B">
      <w:pPr>
        <w:ind w:firstLine="420"/>
        <w:rPr>
          <w:szCs w:val="24"/>
        </w:rPr>
      </w:pPr>
      <w:r>
        <w:rPr>
          <w:rFonts w:hint="eastAsia"/>
          <w:szCs w:val="24"/>
        </w:rPr>
        <w:t>诊疗措施</w:t>
      </w:r>
    </w:p>
    <w:p w14:paraId="2E71D2CC">
      <w:pPr>
        <w:ind w:firstLine="420"/>
        <w:rPr>
          <w:szCs w:val="24"/>
        </w:rPr>
      </w:pPr>
      <w:r>
        <w:rPr>
          <w:rFonts w:hint="eastAsia"/>
          <w:szCs w:val="24"/>
        </w:rPr>
        <w:t>护理记录</w:t>
      </w:r>
    </w:p>
    <w:p w14:paraId="7ECDE494">
      <w:pPr>
        <w:ind w:firstLine="420"/>
        <w:rPr>
          <w:szCs w:val="24"/>
        </w:rPr>
      </w:pPr>
      <w:r>
        <w:rPr>
          <w:rFonts w:hint="eastAsia"/>
          <w:szCs w:val="24"/>
        </w:rPr>
        <w:t>诊疗总结</w:t>
      </w:r>
    </w:p>
    <w:p w14:paraId="28CF4E20">
      <w:pPr>
        <w:ind w:firstLine="420"/>
        <w:rPr>
          <w:szCs w:val="24"/>
        </w:rPr>
      </w:pPr>
      <w:r>
        <w:rPr>
          <w:rFonts w:hint="eastAsia"/>
          <w:szCs w:val="24"/>
        </w:rPr>
        <w:t>知情同意</w:t>
      </w:r>
    </w:p>
    <w:p w14:paraId="28F81374">
      <w:pPr>
        <w:ind w:firstLine="420"/>
        <w:rPr>
          <w:szCs w:val="24"/>
        </w:rPr>
      </w:pPr>
      <w:r>
        <w:rPr>
          <w:rFonts w:hint="eastAsia"/>
          <w:szCs w:val="24"/>
        </w:rPr>
        <w:t>病历预览</w:t>
      </w:r>
    </w:p>
    <w:p w14:paraId="660BEA97">
      <w:pPr>
        <w:ind w:firstLine="420"/>
        <w:rPr>
          <w:szCs w:val="24"/>
        </w:rPr>
      </w:pPr>
      <w:r>
        <w:rPr>
          <w:rFonts w:hint="eastAsia"/>
          <w:szCs w:val="24"/>
        </w:rPr>
        <w:t>语音录入：可语音录入患者基本信息，如姓名年龄性别、生命体征等</w:t>
      </w:r>
    </w:p>
    <w:p w14:paraId="19B73960">
      <w:pPr>
        <w:ind w:firstLine="420"/>
        <w:rPr>
          <w:szCs w:val="24"/>
        </w:rPr>
      </w:pPr>
      <w:r>
        <w:rPr>
          <w:rFonts w:hint="eastAsia"/>
          <w:szCs w:val="24"/>
        </w:rPr>
        <w:t>身份证识别，点击可选择患者身份证照片上传，自动扫描身份证信息。</w:t>
      </w:r>
    </w:p>
    <w:p w14:paraId="6965EE54">
      <w:pPr>
        <w:pStyle w:val="7"/>
        <w:numPr>
          <w:ilvl w:val="4"/>
          <w:numId w:val="16"/>
        </w:numPr>
        <w:rPr>
          <w:sz w:val="30"/>
        </w:rPr>
      </w:pPr>
      <w:r>
        <w:rPr>
          <w:rFonts w:hint="eastAsia"/>
          <w:sz w:val="30"/>
        </w:rPr>
        <w:t>急救地图</w:t>
      </w:r>
    </w:p>
    <w:p w14:paraId="70540423">
      <w:pPr>
        <w:pStyle w:val="3"/>
      </w:pPr>
      <w:r>
        <w:rPr>
          <w:rFonts w:hint="eastAsia" w:asciiTheme="minorEastAsia" w:hAnsiTheme="minorEastAsia" w:eastAsiaTheme="minorEastAsia"/>
        </w:rPr>
        <w:t>具备支持以下功能：</w:t>
      </w:r>
    </w:p>
    <w:p w14:paraId="32258C91">
      <w:pPr>
        <w:ind w:firstLine="420"/>
        <w:rPr>
          <w:szCs w:val="24"/>
        </w:rPr>
      </w:pPr>
      <w:r>
        <w:rPr>
          <w:rFonts w:hint="eastAsia"/>
          <w:szCs w:val="24"/>
        </w:rPr>
        <w:t>在此可查看所有配置医院位置</w:t>
      </w:r>
    </w:p>
    <w:p w14:paraId="6EC4FA49">
      <w:pPr>
        <w:pStyle w:val="7"/>
        <w:numPr>
          <w:ilvl w:val="4"/>
          <w:numId w:val="16"/>
        </w:numPr>
        <w:rPr>
          <w:sz w:val="30"/>
        </w:rPr>
      </w:pPr>
      <w:r>
        <w:rPr>
          <w:rFonts w:hint="eastAsia"/>
          <w:sz w:val="30"/>
        </w:rPr>
        <w:t>出车检查</w:t>
      </w:r>
    </w:p>
    <w:p w14:paraId="0763730F">
      <w:pPr>
        <w:pStyle w:val="3"/>
      </w:pPr>
      <w:r>
        <w:rPr>
          <w:rFonts w:hint="eastAsia" w:asciiTheme="minorEastAsia" w:hAnsiTheme="minorEastAsia" w:eastAsiaTheme="minorEastAsia"/>
        </w:rPr>
        <w:t>具备支持以下功能：</w:t>
      </w:r>
    </w:p>
    <w:p w14:paraId="4F80E048">
      <w:pPr>
        <w:ind w:firstLine="420"/>
        <w:rPr>
          <w:szCs w:val="24"/>
        </w:rPr>
      </w:pPr>
      <w:r>
        <w:rPr>
          <w:rFonts w:hint="eastAsia"/>
          <w:szCs w:val="24"/>
        </w:rPr>
        <w:t>支持进行车辆出车物资盘点，核对车上药品、物资标配数量和实际数量差异，填写备注信息。</w:t>
      </w:r>
    </w:p>
    <w:p w14:paraId="26560BA4">
      <w:pPr>
        <w:pStyle w:val="7"/>
        <w:numPr>
          <w:ilvl w:val="4"/>
          <w:numId w:val="16"/>
        </w:numPr>
        <w:rPr>
          <w:sz w:val="30"/>
        </w:rPr>
      </w:pPr>
      <w:bookmarkStart w:id="346" w:name="_Hlk163640451"/>
      <w:r>
        <w:rPr>
          <w:rFonts w:hint="eastAsia"/>
          <w:sz w:val="30"/>
        </w:rPr>
        <w:t>消毒记录</w:t>
      </w:r>
    </w:p>
    <w:p w14:paraId="1E4091E0">
      <w:pPr>
        <w:pStyle w:val="3"/>
      </w:pPr>
      <w:r>
        <w:rPr>
          <w:rFonts w:hint="eastAsia" w:asciiTheme="minorEastAsia" w:hAnsiTheme="minorEastAsia" w:eastAsiaTheme="minorEastAsia"/>
        </w:rPr>
        <w:t>具备支持以下功能：</w:t>
      </w:r>
    </w:p>
    <w:p w14:paraId="00D471B6">
      <w:pPr>
        <w:ind w:firstLine="420"/>
        <w:rPr>
          <w:szCs w:val="24"/>
        </w:rPr>
      </w:pPr>
      <w:r>
        <w:rPr>
          <w:rFonts w:hint="eastAsia"/>
          <w:szCs w:val="24"/>
        </w:rPr>
        <w:t>支持对救护车消毒情况进行记录。建立救护车消毒信息登记制度，详细记录每次消毒时间、使用药品、消毒部位、操作人员记录，确保消毒流程标准化、责任可追溯。实现消毒数据实时上传、自动生成台账，便于卫生部门定期检查评估，最大限度保障院前急救的感染防控安全。</w:t>
      </w:r>
    </w:p>
    <w:p w14:paraId="7F365000">
      <w:pPr>
        <w:pStyle w:val="6"/>
        <w:numPr>
          <w:ilvl w:val="3"/>
          <w:numId w:val="16"/>
        </w:numPr>
      </w:pPr>
      <w:r>
        <w:rPr>
          <w:rFonts w:hint="eastAsia"/>
        </w:rPr>
        <w:t>急救车数字化改造</w:t>
      </w:r>
    </w:p>
    <w:tbl>
      <w:tblPr>
        <w:tblStyle w:val="42"/>
        <w:tblW w:w="4863" w:type="pct"/>
        <w:tblInd w:w="0" w:type="dxa"/>
        <w:tblLayout w:type="fixed"/>
        <w:tblCellMar>
          <w:top w:w="0" w:type="dxa"/>
          <w:left w:w="108" w:type="dxa"/>
          <w:bottom w:w="0" w:type="dxa"/>
          <w:right w:w="108" w:type="dxa"/>
        </w:tblCellMar>
      </w:tblPr>
      <w:tblGrid>
        <w:gridCol w:w="811"/>
        <w:gridCol w:w="1087"/>
        <w:gridCol w:w="4623"/>
        <w:gridCol w:w="731"/>
        <w:gridCol w:w="721"/>
        <w:gridCol w:w="839"/>
      </w:tblGrid>
      <w:tr w14:paraId="4574B1D5">
        <w:tblPrEx>
          <w:tblCellMar>
            <w:top w:w="0" w:type="dxa"/>
            <w:left w:w="108" w:type="dxa"/>
            <w:bottom w:w="0" w:type="dxa"/>
            <w:right w:w="108" w:type="dxa"/>
          </w:tblCellMar>
        </w:tblPrEx>
        <w:trPr>
          <w:trHeight w:val="520" w:hRule="atLeast"/>
        </w:trPr>
        <w:tc>
          <w:tcPr>
            <w:tcW w:w="5000" w:type="pct"/>
            <w:gridSpan w:val="6"/>
            <w:tcBorders>
              <w:top w:val="single" w:color="auto" w:sz="4" w:space="0"/>
              <w:left w:val="single" w:color="auto" w:sz="4" w:space="0"/>
              <w:bottom w:val="single" w:color="auto" w:sz="4" w:space="0"/>
              <w:right w:val="single" w:color="auto" w:sz="4" w:space="0"/>
            </w:tcBorders>
            <w:shd w:val="clear" w:color="000000" w:fill="BFBFBF"/>
            <w:noWrap/>
            <w:vAlign w:val="center"/>
          </w:tcPr>
          <w:p w14:paraId="62D2B91B">
            <w:pPr>
              <w:widowControl/>
              <w:spacing w:line="240" w:lineRule="auto"/>
              <w:jc w:val="center"/>
              <w:rPr>
                <w:rFonts w:ascii="宋体" w:hAnsi="宋体" w:cs="宋体"/>
                <w:b/>
                <w:bCs/>
                <w:color w:val="000000"/>
                <w:kern w:val="0"/>
                <w:szCs w:val="24"/>
              </w:rPr>
            </w:pPr>
            <w:r>
              <w:rPr>
                <w:rFonts w:hint="eastAsia" w:ascii="宋体" w:hAnsi="宋体" w:cs="宋体"/>
                <w:b/>
                <w:bCs/>
                <w:color w:val="000000"/>
                <w:kern w:val="0"/>
                <w:szCs w:val="24"/>
              </w:rPr>
              <w:t>院前急救医疗视讯协作平台</w:t>
            </w:r>
          </w:p>
        </w:tc>
      </w:tr>
      <w:tr w14:paraId="34884741">
        <w:tblPrEx>
          <w:tblCellMar>
            <w:top w:w="0" w:type="dxa"/>
            <w:left w:w="108" w:type="dxa"/>
            <w:bottom w:w="0" w:type="dxa"/>
            <w:right w:w="108" w:type="dxa"/>
          </w:tblCellMar>
        </w:tblPrEx>
        <w:trPr>
          <w:trHeight w:val="520" w:hRule="atLeast"/>
        </w:trPr>
        <w:tc>
          <w:tcPr>
            <w:tcW w:w="460" w:type="pct"/>
            <w:tcBorders>
              <w:top w:val="nil"/>
              <w:left w:val="single" w:color="auto" w:sz="4" w:space="0"/>
              <w:bottom w:val="single" w:color="auto" w:sz="4" w:space="0"/>
              <w:right w:val="single" w:color="auto" w:sz="4" w:space="0"/>
            </w:tcBorders>
            <w:shd w:val="clear" w:color="000000" w:fill="F2F2F2"/>
            <w:noWrap/>
            <w:vAlign w:val="center"/>
          </w:tcPr>
          <w:p w14:paraId="3D9C378A">
            <w:pPr>
              <w:widowControl/>
              <w:spacing w:line="240" w:lineRule="auto"/>
              <w:jc w:val="center"/>
              <w:rPr>
                <w:rFonts w:ascii="宋体" w:hAnsi="宋体" w:cs="宋体"/>
                <w:b/>
                <w:bCs/>
                <w:kern w:val="0"/>
                <w:sz w:val="20"/>
                <w:szCs w:val="20"/>
              </w:rPr>
            </w:pPr>
            <w:r>
              <w:rPr>
                <w:rFonts w:hint="eastAsia" w:ascii="宋体" w:hAnsi="宋体" w:cs="宋体"/>
                <w:b/>
                <w:bCs/>
                <w:kern w:val="0"/>
                <w:sz w:val="20"/>
                <w:szCs w:val="20"/>
              </w:rPr>
              <w:t>序号</w:t>
            </w:r>
          </w:p>
        </w:tc>
        <w:tc>
          <w:tcPr>
            <w:tcW w:w="617" w:type="pct"/>
            <w:tcBorders>
              <w:top w:val="nil"/>
              <w:left w:val="nil"/>
              <w:bottom w:val="single" w:color="auto" w:sz="4" w:space="0"/>
              <w:right w:val="single" w:color="auto" w:sz="4" w:space="0"/>
            </w:tcBorders>
            <w:shd w:val="clear" w:color="000000" w:fill="F2F2F2"/>
            <w:noWrap/>
            <w:vAlign w:val="center"/>
          </w:tcPr>
          <w:p w14:paraId="153075E6">
            <w:pPr>
              <w:widowControl/>
              <w:spacing w:line="240" w:lineRule="auto"/>
              <w:jc w:val="center"/>
              <w:rPr>
                <w:rFonts w:ascii="宋体" w:hAnsi="宋体" w:cs="宋体"/>
                <w:b/>
                <w:bCs/>
                <w:kern w:val="0"/>
                <w:sz w:val="20"/>
                <w:szCs w:val="20"/>
              </w:rPr>
            </w:pPr>
            <w:r>
              <w:rPr>
                <w:rFonts w:hint="eastAsia" w:ascii="宋体" w:hAnsi="宋体" w:cs="宋体"/>
                <w:b/>
                <w:bCs/>
                <w:kern w:val="0"/>
                <w:sz w:val="20"/>
                <w:szCs w:val="20"/>
              </w:rPr>
              <w:t>名称</w:t>
            </w:r>
          </w:p>
        </w:tc>
        <w:tc>
          <w:tcPr>
            <w:tcW w:w="2623" w:type="pct"/>
            <w:tcBorders>
              <w:top w:val="nil"/>
              <w:left w:val="nil"/>
              <w:bottom w:val="single" w:color="auto" w:sz="4" w:space="0"/>
              <w:right w:val="single" w:color="auto" w:sz="4" w:space="0"/>
            </w:tcBorders>
            <w:shd w:val="clear" w:color="000000" w:fill="F2F2F2"/>
            <w:noWrap/>
            <w:vAlign w:val="center"/>
          </w:tcPr>
          <w:p w14:paraId="4BD17535">
            <w:pPr>
              <w:widowControl/>
              <w:spacing w:line="240" w:lineRule="auto"/>
              <w:jc w:val="center"/>
              <w:rPr>
                <w:rFonts w:ascii="宋体" w:hAnsi="宋体" w:cs="宋体"/>
                <w:b/>
                <w:bCs/>
                <w:kern w:val="0"/>
                <w:sz w:val="20"/>
                <w:szCs w:val="20"/>
              </w:rPr>
            </w:pPr>
            <w:r>
              <w:rPr>
                <w:rFonts w:hint="eastAsia" w:ascii="宋体" w:hAnsi="宋体" w:cs="宋体"/>
                <w:b/>
                <w:bCs/>
                <w:kern w:val="0"/>
                <w:sz w:val="20"/>
                <w:szCs w:val="20"/>
              </w:rPr>
              <w:t>规格</w:t>
            </w:r>
          </w:p>
        </w:tc>
        <w:tc>
          <w:tcPr>
            <w:tcW w:w="415" w:type="pct"/>
            <w:tcBorders>
              <w:top w:val="nil"/>
              <w:left w:val="nil"/>
              <w:bottom w:val="single" w:color="auto" w:sz="4" w:space="0"/>
              <w:right w:val="single" w:color="auto" w:sz="4" w:space="0"/>
            </w:tcBorders>
            <w:shd w:val="clear" w:color="000000" w:fill="F2F2F2"/>
            <w:noWrap/>
            <w:vAlign w:val="center"/>
          </w:tcPr>
          <w:p w14:paraId="6F4C97C6">
            <w:pPr>
              <w:widowControl/>
              <w:spacing w:line="240" w:lineRule="auto"/>
              <w:jc w:val="center"/>
              <w:rPr>
                <w:rFonts w:ascii="宋体" w:hAnsi="宋体" w:cs="宋体"/>
                <w:b/>
                <w:bCs/>
                <w:color w:val="000000"/>
                <w:kern w:val="0"/>
                <w:sz w:val="20"/>
                <w:szCs w:val="20"/>
              </w:rPr>
            </w:pPr>
            <w:r>
              <w:rPr>
                <w:rFonts w:hint="eastAsia" w:ascii="宋体" w:hAnsi="宋体" w:cs="宋体"/>
                <w:b/>
                <w:bCs/>
                <w:color w:val="000000"/>
                <w:kern w:val="0"/>
                <w:sz w:val="20"/>
                <w:szCs w:val="20"/>
              </w:rPr>
              <w:t>数量</w:t>
            </w:r>
          </w:p>
        </w:tc>
        <w:tc>
          <w:tcPr>
            <w:tcW w:w="409" w:type="pct"/>
            <w:tcBorders>
              <w:top w:val="nil"/>
              <w:left w:val="nil"/>
              <w:bottom w:val="single" w:color="auto" w:sz="4" w:space="0"/>
              <w:right w:val="single" w:color="auto" w:sz="4" w:space="0"/>
            </w:tcBorders>
            <w:shd w:val="clear" w:color="000000" w:fill="F2F2F2"/>
            <w:noWrap/>
            <w:vAlign w:val="center"/>
          </w:tcPr>
          <w:p w14:paraId="4AAEDDFE">
            <w:pPr>
              <w:widowControl/>
              <w:spacing w:line="240" w:lineRule="auto"/>
              <w:jc w:val="center"/>
              <w:rPr>
                <w:rFonts w:ascii="宋体" w:hAnsi="宋体" w:cs="宋体"/>
                <w:b/>
                <w:bCs/>
                <w:color w:val="000000"/>
                <w:kern w:val="0"/>
                <w:sz w:val="20"/>
                <w:szCs w:val="20"/>
              </w:rPr>
            </w:pPr>
            <w:r>
              <w:rPr>
                <w:rFonts w:hint="eastAsia" w:ascii="宋体" w:hAnsi="宋体" w:cs="宋体"/>
                <w:b/>
                <w:bCs/>
                <w:color w:val="000000"/>
                <w:kern w:val="0"/>
                <w:sz w:val="20"/>
                <w:szCs w:val="20"/>
              </w:rPr>
              <w:t>单位</w:t>
            </w:r>
          </w:p>
        </w:tc>
        <w:tc>
          <w:tcPr>
            <w:tcW w:w="473" w:type="pct"/>
            <w:tcBorders>
              <w:top w:val="nil"/>
              <w:left w:val="nil"/>
              <w:bottom w:val="single" w:color="auto" w:sz="4" w:space="0"/>
              <w:right w:val="single" w:color="auto" w:sz="4" w:space="0"/>
            </w:tcBorders>
            <w:shd w:val="clear" w:color="000000" w:fill="F2F2F2"/>
            <w:noWrap/>
            <w:vAlign w:val="center"/>
          </w:tcPr>
          <w:p w14:paraId="5675DD54">
            <w:pPr>
              <w:widowControl/>
              <w:spacing w:line="240" w:lineRule="auto"/>
              <w:jc w:val="center"/>
              <w:rPr>
                <w:rFonts w:ascii="宋体" w:hAnsi="宋体" w:cs="宋体"/>
                <w:b/>
                <w:bCs/>
                <w:color w:val="000000"/>
                <w:kern w:val="0"/>
                <w:sz w:val="20"/>
                <w:szCs w:val="20"/>
              </w:rPr>
            </w:pPr>
            <w:r>
              <w:rPr>
                <w:rFonts w:hint="eastAsia" w:ascii="宋体" w:hAnsi="宋体" w:cs="宋体"/>
                <w:b/>
                <w:bCs/>
                <w:color w:val="000000"/>
                <w:kern w:val="0"/>
                <w:sz w:val="20"/>
                <w:szCs w:val="20"/>
              </w:rPr>
              <w:t>备注</w:t>
            </w:r>
          </w:p>
        </w:tc>
      </w:tr>
      <w:tr w14:paraId="5C092FEB">
        <w:tblPrEx>
          <w:tblCellMar>
            <w:top w:w="0" w:type="dxa"/>
            <w:left w:w="108" w:type="dxa"/>
            <w:bottom w:w="0" w:type="dxa"/>
            <w:right w:w="108" w:type="dxa"/>
          </w:tblCellMar>
        </w:tblPrEx>
        <w:trPr>
          <w:trHeight w:val="699" w:hRule="atLeast"/>
        </w:trPr>
        <w:tc>
          <w:tcPr>
            <w:tcW w:w="460" w:type="pct"/>
            <w:tcBorders>
              <w:top w:val="nil"/>
              <w:left w:val="single" w:color="auto" w:sz="4" w:space="0"/>
              <w:bottom w:val="nil"/>
              <w:right w:val="single" w:color="auto" w:sz="4" w:space="0"/>
            </w:tcBorders>
            <w:shd w:val="clear" w:color="auto" w:fill="auto"/>
            <w:vAlign w:val="center"/>
          </w:tcPr>
          <w:p w14:paraId="1E709509">
            <w:pPr>
              <w:widowControl/>
              <w:spacing w:line="240" w:lineRule="auto"/>
              <w:jc w:val="center"/>
              <w:rPr>
                <w:rFonts w:ascii="宋体" w:hAnsi="宋体" w:cs="宋体"/>
                <w:kern w:val="0"/>
                <w:sz w:val="20"/>
                <w:szCs w:val="20"/>
              </w:rPr>
            </w:pPr>
            <w:r>
              <w:rPr>
                <w:rFonts w:hint="eastAsia" w:ascii="宋体" w:hAnsi="宋体" w:cs="宋体"/>
                <w:kern w:val="0"/>
                <w:sz w:val="20"/>
                <w:szCs w:val="20"/>
              </w:rPr>
              <w:t>1</w:t>
            </w:r>
          </w:p>
        </w:tc>
        <w:tc>
          <w:tcPr>
            <w:tcW w:w="617" w:type="pct"/>
            <w:tcBorders>
              <w:top w:val="nil"/>
              <w:left w:val="nil"/>
              <w:bottom w:val="single" w:color="auto" w:sz="4" w:space="0"/>
              <w:right w:val="single" w:color="auto" w:sz="4" w:space="0"/>
            </w:tcBorders>
            <w:shd w:val="clear" w:color="auto" w:fill="auto"/>
            <w:vAlign w:val="center"/>
          </w:tcPr>
          <w:p w14:paraId="7EE3F555">
            <w:pPr>
              <w:widowControl/>
              <w:spacing w:line="240" w:lineRule="auto"/>
              <w:jc w:val="left"/>
              <w:rPr>
                <w:rFonts w:ascii="宋体" w:hAnsi="宋体" w:cs="宋体"/>
                <w:kern w:val="0"/>
                <w:sz w:val="20"/>
                <w:szCs w:val="20"/>
              </w:rPr>
            </w:pPr>
            <w:r>
              <w:rPr>
                <w:rFonts w:hint="eastAsia" w:ascii="宋体" w:hAnsi="宋体" w:cs="宋体"/>
                <w:kern w:val="0"/>
                <w:sz w:val="20"/>
                <w:szCs w:val="20"/>
              </w:rPr>
              <w:t>智慧医疗视讯协作平台</w:t>
            </w:r>
          </w:p>
        </w:tc>
        <w:tc>
          <w:tcPr>
            <w:tcW w:w="2623" w:type="pct"/>
            <w:tcBorders>
              <w:top w:val="nil"/>
              <w:left w:val="nil"/>
              <w:bottom w:val="single" w:color="auto" w:sz="4" w:space="0"/>
              <w:right w:val="single" w:color="auto" w:sz="4" w:space="0"/>
            </w:tcBorders>
            <w:shd w:val="clear" w:color="auto" w:fill="auto"/>
          </w:tcPr>
          <w:p w14:paraId="43A09EF6">
            <w:pPr>
              <w:widowControl/>
              <w:spacing w:line="240" w:lineRule="auto"/>
              <w:jc w:val="left"/>
              <w:rPr>
                <w:rFonts w:ascii="宋体" w:hAnsi="宋体" w:cs="宋体"/>
                <w:kern w:val="0"/>
                <w:sz w:val="20"/>
                <w:szCs w:val="20"/>
              </w:rPr>
            </w:pPr>
            <w:r>
              <w:rPr>
                <w:rFonts w:hint="eastAsia" w:ascii="宋体" w:hAnsi="宋体" w:cs="宋体"/>
                <w:kern w:val="0"/>
                <w:sz w:val="20"/>
                <w:szCs w:val="20"/>
              </w:rPr>
              <w:t>1、支持智能自动转发、自动负载均衡功能，</w:t>
            </w:r>
          </w:p>
          <w:p w14:paraId="7DB75802">
            <w:pPr>
              <w:widowControl/>
              <w:spacing w:line="240" w:lineRule="auto"/>
              <w:jc w:val="left"/>
              <w:rPr>
                <w:rFonts w:ascii="宋体" w:hAnsi="宋体" w:cs="宋体"/>
                <w:kern w:val="0"/>
                <w:sz w:val="20"/>
                <w:szCs w:val="20"/>
              </w:rPr>
            </w:pPr>
            <w:r>
              <w:rPr>
                <w:rFonts w:hint="eastAsia" w:ascii="宋体" w:hAnsi="宋体" w:cs="宋体"/>
                <w:kern w:val="0"/>
                <w:sz w:val="20"/>
                <w:szCs w:val="20"/>
              </w:rPr>
              <w:t>2、具有视音频流控软件、视频多点控制单元（VCU）、音频多点混音控制单元（ACU）、视音频混合录制单元（SCU）功能</w:t>
            </w:r>
          </w:p>
          <w:p w14:paraId="667CE18E">
            <w:pPr>
              <w:widowControl/>
              <w:spacing w:line="240" w:lineRule="auto"/>
              <w:jc w:val="left"/>
              <w:rPr>
                <w:rFonts w:ascii="宋体" w:hAnsi="宋体" w:cs="宋体"/>
                <w:kern w:val="0"/>
                <w:sz w:val="20"/>
                <w:szCs w:val="20"/>
              </w:rPr>
            </w:pPr>
            <w:r>
              <w:rPr>
                <w:rFonts w:hint="eastAsia" w:ascii="宋体" w:hAnsi="宋体" w:cs="宋体"/>
                <w:kern w:val="0"/>
                <w:sz w:val="20"/>
                <w:szCs w:val="20"/>
              </w:rPr>
              <w:t>3、支持管理终端、管理端等设备的集中认证，保证设备连接准确。支持点对点的视频与声音的同步传输功能，保证视音频同步稳定传输。</w:t>
            </w:r>
          </w:p>
          <w:p w14:paraId="1FA50453">
            <w:pPr>
              <w:widowControl/>
              <w:spacing w:line="240" w:lineRule="auto"/>
              <w:jc w:val="left"/>
              <w:rPr>
                <w:rFonts w:ascii="宋体" w:hAnsi="宋体" w:cs="宋体"/>
                <w:kern w:val="0"/>
                <w:sz w:val="20"/>
                <w:szCs w:val="20"/>
              </w:rPr>
            </w:pPr>
            <w:r>
              <w:rPr>
                <w:rFonts w:hint="eastAsia" w:ascii="宋体" w:hAnsi="宋体" w:cs="宋体"/>
                <w:kern w:val="0"/>
                <w:sz w:val="20"/>
                <w:szCs w:val="20"/>
              </w:rPr>
              <w:t>在急救人员、救护车、应急指挥中心、医院之间多方MTD会诊，一键邀请入会。</w:t>
            </w:r>
          </w:p>
        </w:tc>
        <w:tc>
          <w:tcPr>
            <w:tcW w:w="415" w:type="pct"/>
            <w:tcBorders>
              <w:top w:val="nil"/>
              <w:left w:val="nil"/>
              <w:bottom w:val="single" w:color="auto" w:sz="4" w:space="0"/>
              <w:right w:val="single" w:color="auto" w:sz="4" w:space="0"/>
            </w:tcBorders>
            <w:shd w:val="clear" w:color="auto" w:fill="auto"/>
            <w:vAlign w:val="center"/>
          </w:tcPr>
          <w:p w14:paraId="7CD7D871">
            <w:pPr>
              <w:widowControl/>
              <w:spacing w:line="240" w:lineRule="auto"/>
              <w:jc w:val="center"/>
              <w:rPr>
                <w:rFonts w:ascii="宋体" w:hAnsi="宋体" w:cs="宋体"/>
                <w:kern w:val="0"/>
                <w:sz w:val="20"/>
                <w:szCs w:val="20"/>
              </w:rPr>
            </w:pPr>
            <w:r>
              <w:rPr>
                <w:rFonts w:hint="eastAsia" w:ascii="宋体" w:hAnsi="宋体" w:cs="宋体"/>
                <w:kern w:val="0"/>
                <w:sz w:val="20"/>
                <w:szCs w:val="20"/>
              </w:rPr>
              <w:t>1</w:t>
            </w:r>
          </w:p>
        </w:tc>
        <w:tc>
          <w:tcPr>
            <w:tcW w:w="409" w:type="pct"/>
            <w:tcBorders>
              <w:top w:val="nil"/>
              <w:left w:val="nil"/>
              <w:bottom w:val="single" w:color="auto" w:sz="4" w:space="0"/>
              <w:right w:val="single" w:color="auto" w:sz="4" w:space="0"/>
            </w:tcBorders>
            <w:shd w:val="clear" w:color="auto" w:fill="auto"/>
            <w:vAlign w:val="center"/>
          </w:tcPr>
          <w:p w14:paraId="47F3FBEA">
            <w:pPr>
              <w:widowControl/>
              <w:spacing w:line="240" w:lineRule="auto"/>
              <w:jc w:val="center"/>
              <w:rPr>
                <w:rFonts w:ascii="宋体" w:hAnsi="宋体" w:cs="宋体"/>
                <w:kern w:val="0"/>
                <w:sz w:val="20"/>
                <w:szCs w:val="20"/>
              </w:rPr>
            </w:pPr>
            <w:r>
              <w:rPr>
                <w:rFonts w:hint="eastAsia" w:ascii="宋体" w:hAnsi="宋体" w:cs="宋体"/>
                <w:kern w:val="0"/>
                <w:sz w:val="20"/>
                <w:szCs w:val="20"/>
              </w:rPr>
              <w:t>台</w:t>
            </w:r>
          </w:p>
        </w:tc>
        <w:tc>
          <w:tcPr>
            <w:tcW w:w="473" w:type="pct"/>
            <w:tcBorders>
              <w:top w:val="nil"/>
              <w:left w:val="nil"/>
              <w:bottom w:val="single" w:color="auto" w:sz="4" w:space="0"/>
              <w:right w:val="single" w:color="auto" w:sz="4" w:space="0"/>
            </w:tcBorders>
            <w:shd w:val="clear" w:color="auto" w:fill="auto"/>
            <w:vAlign w:val="center"/>
          </w:tcPr>
          <w:p w14:paraId="30F83911">
            <w:pPr>
              <w:widowControl/>
              <w:spacing w:line="240" w:lineRule="auto"/>
              <w:jc w:val="center"/>
              <w:rPr>
                <w:rFonts w:ascii="宋体" w:hAnsi="宋体" w:cs="宋体"/>
                <w:kern w:val="0"/>
                <w:sz w:val="20"/>
                <w:szCs w:val="20"/>
              </w:rPr>
            </w:pPr>
            <w:r>
              <w:rPr>
                <w:rFonts w:hint="eastAsia" w:ascii="宋体" w:hAnsi="宋体" w:cs="宋体"/>
                <w:kern w:val="0"/>
                <w:sz w:val="20"/>
                <w:szCs w:val="20"/>
              </w:rPr>
              <w:t>　</w:t>
            </w:r>
          </w:p>
        </w:tc>
      </w:tr>
      <w:tr w14:paraId="77A4F78C">
        <w:tblPrEx>
          <w:tblCellMar>
            <w:top w:w="0" w:type="dxa"/>
            <w:left w:w="108" w:type="dxa"/>
            <w:bottom w:w="0" w:type="dxa"/>
            <w:right w:w="108" w:type="dxa"/>
          </w:tblCellMar>
        </w:tblPrEx>
        <w:trPr>
          <w:trHeight w:val="90" w:hRule="atLeast"/>
        </w:trPr>
        <w:tc>
          <w:tcPr>
            <w:tcW w:w="460" w:type="pct"/>
            <w:tcBorders>
              <w:top w:val="single" w:color="auto" w:sz="4" w:space="0"/>
              <w:left w:val="single" w:color="auto" w:sz="4" w:space="0"/>
              <w:bottom w:val="single" w:color="auto" w:sz="4" w:space="0"/>
              <w:right w:val="single" w:color="auto" w:sz="4" w:space="0"/>
            </w:tcBorders>
            <w:shd w:val="clear" w:color="auto" w:fill="auto"/>
            <w:vAlign w:val="center"/>
          </w:tcPr>
          <w:p w14:paraId="11F6FB4C">
            <w:pPr>
              <w:widowControl/>
              <w:spacing w:line="240" w:lineRule="auto"/>
              <w:jc w:val="center"/>
              <w:rPr>
                <w:rFonts w:ascii="宋体" w:hAnsi="宋体" w:cs="宋体"/>
                <w:kern w:val="0"/>
                <w:sz w:val="20"/>
                <w:szCs w:val="20"/>
              </w:rPr>
            </w:pPr>
            <w:r>
              <w:rPr>
                <w:rFonts w:hint="eastAsia" w:ascii="宋体" w:hAnsi="宋体" w:cs="宋体"/>
                <w:kern w:val="0"/>
                <w:sz w:val="20"/>
                <w:szCs w:val="20"/>
              </w:rPr>
              <w:t>2</w:t>
            </w:r>
          </w:p>
        </w:tc>
        <w:tc>
          <w:tcPr>
            <w:tcW w:w="617" w:type="pct"/>
            <w:tcBorders>
              <w:top w:val="nil"/>
              <w:left w:val="nil"/>
              <w:bottom w:val="single" w:color="auto" w:sz="4" w:space="0"/>
              <w:right w:val="single" w:color="auto" w:sz="4" w:space="0"/>
            </w:tcBorders>
            <w:shd w:val="clear" w:color="auto" w:fill="auto"/>
            <w:vAlign w:val="center"/>
          </w:tcPr>
          <w:p w14:paraId="09351BFE">
            <w:pPr>
              <w:widowControl/>
              <w:spacing w:line="240" w:lineRule="auto"/>
              <w:jc w:val="left"/>
              <w:rPr>
                <w:rFonts w:ascii="宋体" w:hAnsi="宋体" w:cs="宋体"/>
                <w:kern w:val="0"/>
                <w:sz w:val="20"/>
                <w:szCs w:val="20"/>
              </w:rPr>
            </w:pPr>
            <w:r>
              <w:rPr>
                <w:rFonts w:hint="eastAsia" w:ascii="宋体" w:hAnsi="宋体" w:cs="宋体"/>
                <w:kern w:val="0"/>
                <w:sz w:val="20"/>
                <w:szCs w:val="20"/>
              </w:rPr>
              <w:t>5G急救网关车载数据采集与传输系统</w:t>
            </w:r>
          </w:p>
        </w:tc>
        <w:tc>
          <w:tcPr>
            <w:tcW w:w="2623" w:type="pct"/>
            <w:tcBorders>
              <w:top w:val="nil"/>
              <w:left w:val="nil"/>
              <w:bottom w:val="single" w:color="auto" w:sz="4" w:space="0"/>
              <w:right w:val="single" w:color="auto" w:sz="4" w:space="0"/>
            </w:tcBorders>
            <w:shd w:val="clear" w:color="auto" w:fill="auto"/>
          </w:tcPr>
          <w:p w14:paraId="021EFF81">
            <w:pPr>
              <w:widowControl/>
              <w:spacing w:line="240" w:lineRule="auto"/>
              <w:jc w:val="left"/>
              <w:rPr>
                <w:rFonts w:ascii="宋体" w:hAnsi="宋体" w:cs="宋体"/>
                <w:kern w:val="0"/>
                <w:sz w:val="20"/>
                <w:szCs w:val="20"/>
              </w:rPr>
            </w:pPr>
            <w:r>
              <w:rPr>
                <w:rFonts w:hint="eastAsia" w:ascii="宋体" w:hAnsi="宋体" w:cs="宋体"/>
                <w:kern w:val="0"/>
                <w:sz w:val="20"/>
                <w:szCs w:val="20"/>
              </w:rPr>
              <w:t>1、救护车医疗舱医疗设备数据采集及远程实时传输</w:t>
            </w:r>
          </w:p>
          <w:p w14:paraId="1226198C">
            <w:pPr>
              <w:widowControl/>
              <w:spacing w:line="240" w:lineRule="auto"/>
              <w:jc w:val="left"/>
              <w:rPr>
                <w:rFonts w:ascii="宋体" w:hAnsi="宋体" w:cs="宋体"/>
                <w:kern w:val="0"/>
                <w:sz w:val="20"/>
                <w:szCs w:val="20"/>
              </w:rPr>
            </w:pPr>
            <w:r>
              <w:rPr>
                <w:rFonts w:hint="eastAsia" w:ascii="宋体" w:hAnsi="宋体" w:cs="宋体"/>
                <w:kern w:val="0"/>
                <w:sz w:val="20"/>
                <w:szCs w:val="20"/>
              </w:rPr>
              <w:t>2、车载医疗设备影像实时远程传输。</w:t>
            </w:r>
          </w:p>
          <w:p w14:paraId="2E6AE4CE">
            <w:pPr>
              <w:widowControl/>
              <w:spacing w:line="240" w:lineRule="auto"/>
              <w:jc w:val="left"/>
              <w:rPr>
                <w:rFonts w:ascii="宋体" w:hAnsi="宋体" w:cs="宋体"/>
                <w:kern w:val="0"/>
                <w:sz w:val="20"/>
                <w:szCs w:val="20"/>
              </w:rPr>
            </w:pPr>
            <w:r>
              <w:rPr>
                <w:rFonts w:hint="eastAsia" w:ascii="宋体" w:hAnsi="宋体" w:cs="宋体"/>
                <w:kern w:val="0"/>
                <w:sz w:val="20"/>
                <w:szCs w:val="20"/>
              </w:rPr>
              <w:t>3、一键视频呼叫指挥中心。</w:t>
            </w:r>
          </w:p>
          <w:p w14:paraId="728F0EF0">
            <w:pPr>
              <w:widowControl/>
              <w:spacing w:line="240" w:lineRule="auto"/>
              <w:jc w:val="left"/>
              <w:rPr>
                <w:rFonts w:ascii="宋体" w:hAnsi="宋体" w:cs="宋体"/>
                <w:kern w:val="0"/>
                <w:sz w:val="20"/>
                <w:szCs w:val="20"/>
              </w:rPr>
            </w:pPr>
            <w:r>
              <w:rPr>
                <w:rFonts w:hint="eastAsia" w:ascii="宋体" w:hAnsi="宋体" w:cs="宋体"/>
                <w:kern w:val="0"/>
                <w:sz w:val="20"/>
                <w:szCs w:val="20"/>
              </w:rPr>
              <w:t>4、指挥中心、急救车、医院科室、医生等多方MDT视频会诊。</w:t>
            </w:r>
          </w:p>
          <w:p w14:paraId="35CCA38F">
            <w:pPr>
              <w:widowControl/>
              <w:spacing w:line="240" w:lineRule="auto"/>
              <w:jc w:val="left"/>
              <w:rPr>
                <w:rFonts w:ascii="宋体" w:hAnsi="宋体" w:cs="宋体"/>
                <w:kern w:val="0"/>
                <w:sz w:val="20"/>
                <w:szCs w:val="20"/>
              </w:rPr>
            </w:pPr>
            <w:r>
              <w:rPr>
                <w:rFonts w:hint="eastAsia" w:ascii="宋体" w:hAnsi="宋体" w:cs="宋体"/>
                <w:kern w:val="0"/>
                <w:sz w:val="20"/>
                <w:szCs w:val="20"/>
              </w:rPr>
              <w:t>5、救护车实时监控录像。</w:t>
            </w:r>
          </w:p>
          <w:p w14:paraId="200039B8">
            <w:pPr>
              <w:widowControl/>
              <w:spacing w:line="240" w:lineRule="auto"/>
              <w:jc w:val="left"/>
              <w:rPr>
                <w:rFonts w:ascii="宋体" w:hAnsi="宋体" w:cs="宋体"/>
                <w:kern w:val="0"/>
                <w:sz w:val="20"/>
                <w:szCs w:val="20"/>
              </w:rPr>
            </w:pPr>
            <w:r>
              <w:rPr>
                <w:rFonts w:hint="eastAsia" w:ascii="宋体" w:hAnsi="宋体" w:cs="宋体"/>
                <w:kern w:val="0"/>
                <w:sz w:val="20"/>
                <w:szCs w:val="20"/>
              </w:rPr>
              <w:t>6、支持视频会议录制。</w:t>
            </w:r>
          </w:p>
          <w:p w14:paraId="29252408">
            <w:pPr>
              <w:widowControl/>
              <w:spacing w:line="240" w:lineRule="auto"/>
              <w:jc w:val="left"/>
              <w:rPr>
                <w:rFonts w:ascii="宋体" w:hAnsi="宋体" w:cs="宋体"/>
                <w:kern w:val="0"/>
                <w:sz w:val="20"/>
                <w:szCs w:val="20"/>
              </w:rPr>
            </w:pPr>
            <w:r>
              <w:rPr>
                <w:rFonts w:hint="eastAsia" w:ascii="宋体" w:hAnsi="宋体" w:cs="宋体"/>
                <w:kern w:val="0"/>
                <w:sz w:val="20"/>
                <w:szCs w:val="20"/>
              </w:rPr>
              <w:t>7、救护车实时北斗/GPS定位上传</w:t>
            </w:r>
          </w:p>
        </w:tc>
        <w:tc>
          <w:tcPr>
            <w:tcW w:w="415" w:type="pct"/>
            <w:tcBorders>
              <w:top w:val="nil"/>
              <w:left w:val="nil"/>
              <w:bottom w:val="single" w:color="auto" w:sz="4" w:space="0"/>
              <w:right w:val="single" w:color="auto" w:sz="4" w:space="0"/>
            </w:tcBorders>
            <w:shd w:val="clear" w:color="auto" w:fill="auto"/>
            <w:vAlign w:val="center"/>
          </w:tcPr>
          <w:p w14:paraId="77D34017">
            <w:pPr>
              <w:widowControl/>
              <w:spacing w:line="240" w:lineRule="auto"/>
              <w:jc w:val="center"/>
              <w:rPr>
                <w:rFonts w:ascii="宋体" w:hAnsi="宋体" w:cs="宋体"/>
                <w:kern w:val="0"/>
                <w:sz w:val="20"/>
                <w:szCs w:val="20"/>
              </w:rPr>
            </w:pPr>
            <w:r>
              <w:rPr>
                <w:rFonts w:hint="eastAsia" w:ascii="宋体" w:hAnsi="宋体" w:cs="宋体"/>
                <w:kern w:val="0"/>
                <w:sz w:val="20"/>
                <w:szCs w:val="20"/>
              </w:rPr>
              <w:t>8</w:t>
            </w:r>
          </w:p>
        </w:tc>
        <w:tc>
          <w:tcPr>
            <w:tcW w:w="409" w:type="pct"/>
            <w:tcBorders>
              <w:top w:val="nil"/>
              <w:left w:val="nil"/>
              <w:bottom w:val="single" w:color="auto" w:sz="4" w:space="0"/>
              <w:right w:val="single" w:color="auto" w:sz="4" w:space="0"/>
            </w:tcBorders>
            <w:shd w:val="clear" w:color="auto" w:fill="auto"/>
            <w:vAlign w:val="center"/>
          </w:tcPr>
          <w:p w14:paraId="6D4C20E8">
            <w:pPr>
              <w:widowControl/>
              <w:spacing w:line="240" w:lineRule="auto"/>
              <w:jc w:val="center"/>
              <w:rPr>
                <w:rFonts w:ascii="宋体" w:hAnsi="宋体" w:cs="宋体"/>
                <w:kern w:val="0"/>
                <w:sz w:val="20"/>
                <w:szCs w:val="20"/>
              </w:rPr>
            </w:pPr>
            <w:r>
              <w:rPr>
                <w:rFonts w:hint="eastAsia" w:ascii="宋体" w:hAnsi="宋体" w:cs="宋体"/>
                <w:kern w:val="0"/>
                <w:sz w:val="20"/>
                <w:szCs w:val="20"/>
              </w:rPr>
              <w:t>辆</w:t>
            </w:r>
          </w:p>
        </w:tc>
        <w:tc>
          <w:tcPr>
            <w:tcW w:w="473" w:type="pct"/>
            <w:tcBorders>
              <w:top w:val="nil"/>
              <w:left w:val="nil"/>
              <w:bottom w:val="single" w:color="auto" w:sz="4" w:space="0"/>
              <w:right w:val="single" w:color="auto" w:sz="4" w:space="0"/>
            </w:tcBorders>
            <w:shd w:val="clear" w:color="auto" w:fill="auto"/>
            <w:vAlign w:val="center"/>
          </w:tcPr>
          <w:p w14:paraId="0DF5C342">
            <w:pPr>
              <w:widowControl/>
              <w:spacing w:line="240" w:lineRule="auto"/>
              <w:jc w:val="center"/>
              <w:rPr>
                <w:rFonts w:ascii="宋体" w:hAnsi="宋体" w:cs="宋体"/>
                <w:kern w:val="0"/>
                <w:sz w:val="20"/>
                <w:szCs w:val="20"/>
              </w:rPr>
            </w:pPr>
          </w:p>
        </w:tc>
      </w:tr>
      <w:tr w14:paraId="52A1DF3B">
        <w:tblPrEx>
          <w:tblCellMar>
            <w:top w:w="0" w:type="dxa"/>
            <w:left w:w="108" w:type="dxa"/>
            <w:bottom w:w="0" w:type="dxa"/>
            <w:right w:w="108" w:type="dxa"/>
          </w:tblCellMar>
        </w:tblPrEx>
        <w:trPr>
          <w:trHeight w:val="487" w:hRule="atLeast"/>
        </w:trPr>
        <w:tc>
          <w:tcPr>
            <w:tcW w:w="460" w:type="pct"/>
            <w:tcBorders>
              <w:top w:val="nil"/>
              <w:left w:val="single" w:color="auto" w:sz="4" w:space="0"/>
              <w:bottom w:val="single" w:color="auto" w:sz="4" w:space="0"/>
              <w:right w:val="single" w:color="auto" w:sz="4" w:space="0"/>
            </w:tcBorders>
            <w:shd w:val="clear" w:color="auto" w:fill="auto"/>
            <w:noWrap/>
            <w:vAlign w:val="center"/>
          </w:tcPr>
          <w:p w14:paraId="7448C2E2">
            <w:pPr>
              <w:widowControl/>
              <w:spacing w:line="240" w:lineRule="auto"/>
              <w:jc w:val="center"/>
              <w:rPr>
                <w:rFonts w:ascii="宋体" w:hAnsi="宋体" w:cs="宋体"/>
                <w:kern w:val="0"/>
                <w:sz w:val="20"/>
                <w:szCs w:val="20"/>
              </w:rPr>
            </w:pPr>
            <w:r>
              <w:rPr>
                <w:rFonts w:hint="eastAsia" w:ascii="宋体" w:hAnsi="宋体" w:cs="宋体"/>
                <w:kern w:val="0"/>
                <w:sz w:val="20"/>
                <w:szCs w:val="20"/>
              </w:rPr>
              <w:t>3</w:t>
            </w:r>
          </w:p>
        </w:tc>
        <w:tc>
          <w:tcPr>
            <w:tcW w:w="617" w:type="pct"/>
            <w:tcBorders>
              <w:top w:val="nil"/>
              <w:left w:val="nil"/>
              <w:bottom w:val="single" w:color="auto" w:sz="4" w:space="0"/>
              <w:right w:val="single" w:color="auto" w:sz="4" w:space="0"/>
            </w:tcBorders>
            <w:shd w:val="clear" w:color="auto" w:fill="auto"/>
            <w:vAlign w:val="center"/>
          </w:tcPr>
          <w:p w14:paraId="5390DFDF">
            <w:pPr>
              <w:widowControl/>
              <w:spacing w:line="240" w:lineRule="auto"/>
              <w:jc w:val="left"/>
              <w:rPr>
                <w:rFonts w:ascii="宋体" w:hAnsi="宋体" w:cs="宋体"/>
                <w:kern w:val="0"/>
                <w:sz w:val="20"/>
                <w:szCs w:val="20"/>
              </w:rPr>
            </w:pPr>
            <w:r>
              <w:rPr>
                <w:rFonts w:hint="eastAsia" w:ascii="宋体" w:hAnsi="宋体" w:cs="宋体"/>
                <w:kern w:val="0"/>
                <w:sz w:val="20"/>
                <w:szCs w:val="20"/>
              </w:rPr>
              <w:t>调度显示器（桌面会议显示器）</w:t>
            </w:r>
          </w:p>
        </w:tc>
        <w:tc>
          <w:tcPr>
            <w:tcW w:w="2623" w:type="pct"/>
            <w:tcBorders>
              <w:top w:val="nil"/>
              <w:left w:val="nil"/>
              <w:bottom w:val="single" w:color="auto" w:sz="4" w:space="0"/>
              <w:right w:val="single" w:color="auto" w:sz="4" w:space="0"/>
            </w:tcBorders>
            <w:shd w:val="clear" w:color="auto" w:fill="auto"/>
            <w:vAlign w:val="center"/>
          </w:tcPr>
          <w:p w14:paraId="240E7852">
            <w:pPr>
              <w:widowControl/>
              <w:spacing w:after="240" w:line="240" w:lineRule="auto"/>
              <w:jc w:val="left"/>
              <w:rPr>
                <w:rFonts w:ascii="宋体" w:hAnsi="宋体" w:cs="宋体"/>
                <w:kern w:val="0"/>
                <w:sz w:val="20"/>
                <w:szCs w:val="20"/>
              </w:rPr>
            </w:pPr>
            <w:r>
              <w:rPr>
                <w:rFonts w:hint="eastAsia" w:ascii="宋体" w:hAnsi="宋体" w:cs="宋体"/>
                <w:kern w:val="0"/>
                <w:sz w:val="20"/>
                <w:szCs w:val="20"/>
              </w:rPr>
              <w:t>1、采用一体化设计，集成摄像机、数字麦克风、扬声器及编解码器。</w:t>
            </w:r>
          </w:p>
          <w:p w14:paraId="7E6E921B">
            <w:pPr>
              <w:widowControl/>
              <w:spacing w:after="240" w:line="240" w:lineRule="auto"/>
              <w:jc w:val="left"/>
              <w:rPr>
                <w:rFonts w:ascii="宋体" w:hAnsi="宋体" w:cs="宋体"/>
                <w:kern w:val="0"/>
                <w:sz w:val="20"/>
                <w:szCs w:val="20"/>
              </w:rPr>
            </w:pPr>
            <w:r>
              <w:rPr>
                <w:rFonts w:hint="eastAsia" w:ascii="宋体" w:hAnsi="宋体" w:cs="宋体"/>
                <w:kern w:val="0"/>
                <w:sz w:val="20"/>
                <w:szCs w:val="20"/>
              </w:rPr>
              <w:t>2、屏幕尺寸≥27英寸。</w:t>
            </w:r>
          </w:p>
          <w:p w14:paraId="4B8DAD2A">
            <w:pPr>
              <w:widowControl/>
              <w:spacing w:after="240" w:line="240" w:lineRule="auto"/>
              <w:jc w:val="left"/>
              <w:rPr>
                <w:rFonts w:ascii="宋体" w:hAnsi="宋体" w:cs="宋体"/>
                <w:kern w:val="0"/>
                <w:sz w:val="20"/>
                <w:szCs w:val="20"/>
              </w:rPr>
            </w:pPr>
            <w:r>
              <w:rPr>
                <w:rFonts w:hint="eastAsia" w:ascii="宋体" w:hAnsi="宋体" w:cs="宋体"/>
                <w:kern w:val="0"/>
                <w:sz w:val="20"/>
                <w:szCs w:val="20"/>
              </w:rPr>
              <w:t>3、CPU:不低于四核1.15GHz，内存：≥4G。</w:t>
            </w:r>
          </w:p>
          <w:p w14:paraId="2267B25A">
            <w:pPr>
              <w:widowControl/>
              <w:spacing w:after="240" w:line="240" w:lineRule="auto"/>
              <w:jc w:val="left"/>
              <w:rPr>
                <w:rFonts w:ascii="宋体" w:hAnsi="宋体" w:cs="宋体"/>
                <w:kern w:val="0"/>
                <w:sz w:val="20"/>
                <w:szCs w:val="20"/>
              </w:rPr>
            </w:pPr>
            <w:r>
              <w:rPr>
                <w:rFonts w:hint="eastAsia" w:ascii="宋体" w:hAnsi="宋体" w:cs="宋体"/>
                <w:kern w:val="0"/>
                <w:sz w:val="20"/>
                <w:szCs w:val="20"/>
              </w:rPr>
              <w:t>4、采用国产自主嵌入式操作系统，非Windows、非 Android 系统（须提供CNAS认可的检测机构出具的测试报告证明）</w:t>
            </w:r>
          </w:p>
          <w:p w14:paraId="42BAFA74">
            <w:pPr>
              <w:widowControl/>
              <w:spacing w:after="240" w:line="240" w:lineRule="auto"/>
              <w:jc w:val="left"/>
              <w:rPr>
                <w:rFonts w:ascii="宋体" w:hAnsi="宋体" w:cs="宋体"/>
                <w:kern w:val="0"/>
                <w:sz w:val="20"/>
                <w:szCs w:val="20"/>
              </w:rPr>
            </w:pPr>
            <w:r>
              <w:rPr>
                <w:rFonts w:hint="eastAsia" w:ascii="宋体" w:hAnsi="宋体" w:cs="宋体"/>
                <w:kern w:val="0"/>
                <w:sz w:val="20"/>
                <w:szCs w:val="20"/>
              </w:rPr>
              <w:t xml:space="preserve">5、内置高清摄像机，有效像素≥400万像素，支持1080P 30fps视频图像采集。                 </w:t>
            </w:r>
          </w:p>
          <w:p w14:paraId="6E180555">
            <w:pPr>
              <w:widowControl/>
              <w:spacing w:after="240" w:line="240" w:lineRule="auto"/>
              <w:jc w:val="left"/>
              <w:rPr>
                <w:rFonts w:ascii="宋体" w:hAnsi="宋体" w:cs="宋体"/>
                <w:kern w:val="0"/>
                <w:sz w:val="20"/>
                <w:szCs w:val="20"/>
              </w:rPr>
            </w:pPr>
            <w:r>
              <w:rPr>
                <w:rFonts w:hint="eastAsia" w:ascii="宋体" w:hAnsi="宋体" w:cs="宋体"/>
                <w:kern w:val="0"/>
                <w:sz w:val="20"/>
                <w:szCs w:val="20"/>
              </w:rPr>
              <w:t>6、支持隐私保护，摄像头使用隐私遮挡板，可将摄像头显示画面遮挡。（须提供设备相关图片）。</w:t>
            </w:r>
          </w:p>
          <w:p w14:paraId="2731F600">
            <w:pPr>
              <w:widowControl/>
              <w:spacing w:after="240" w:line="240" w:lineRule="auto"/>
              <w:jc w:val="left"/>
              <w:rPr>
                <w:rFonts w:ascii="宋体" w:hAnsi="宋体" w:cs="宋体"/>
                <w:kern w:val="0"/>
                <w:sz w:val="20"/>
                <w:szCs w:val="20"/>
              </w:rPr>
            </w:pPr>
            <w:r>
              <w:rPr>
                <w:rFonts w:hint="eastAsia" w:ascii="宋体" w:hAnsi="宋体" w:cs="宋体"/>
                <w:kern w:val="0"/>
                <w:sz w:val="20"/>
                <w:szCs w:val="20"/>
              </w:rPr>
              <w:t>7、内置全向麦克风阵列，数量不少于4个，拾音有效距离不小于4M。</w:t>
            </w:r>
          </w:p>
          <w:p w14:paraId="23BA154F">
            <w:pPr>
              <w:widowControl/>
              <w:spacing w:after="240" w:line="240" w:lineRule="auto"/>
              <w:jc w:val="left"/>
              <w:rPr>
                <w:rFonts w:ascii="宋体" w:hAnsi="宋体" w:cs="宋体"/>
                <w:kern w:val="0"/>
                <w:sz w:val="20"/>
                <w:szCs w:val="20"/>
              </w:rPr>
            </w:pPr>
            <w:r>
              <w:rPr>
                <w:rFonts w:hint="eastAsia" w:ascii="宋体" w:hAnsi="宋体" w:cs="宋体"/>
                <w:kern w:val="0"/>
                <w:sz w:val="20"/>
                <w:szCs w:val="20"/>
              </w:rPr>
              <w:t>8、支持H.265、H.264 HP、H.264 BP、H.264 SVC等图像编码协议。</w:t>
            </w:r>
          </w:p>
          <w:p w14:paraId="0E12983F">
            <w:pPr>
              <w:widowControl/>
              <w:spacing w:after="240" w:line="240" w:lineRule="auto"/>
              <w:jc w:val="left"/>
              <w:rPr>
                <w:rFonts w:ascii="宋体" w:hAnsi="宋体" w:cs="宋体"/>
                <w:kern w:val="0"/>
                <w:sz w:val="20"/>
                <w:szCs w:val="20"/>
              </w:rPr>
            </w:pPr>
            <w:r>
              <w:rPr>
                <w:rFonts w:hint="eastAsia" w:ascii="宋体" w:hAnsi="宋体" w:cs="宋体"/>
                <w:kern w:val="0"/>
                <w:sz w:val="20"/>
                <w:szCs w:val="20"/>
              </w:rPr>
              <w:t>9、支持1080P 30 fps、720P 60 /30 fps、Full- D1、CIF、QCIF等分辨率。</w:t>
            </w:r>
          </w:p>
          <w:p w14:paraId="265531B9">
            <w:pPr>
              <w:widowControl/>
              <w:spacing w:after="240" w:line="240" w:lineRule="auto"/>
              <w:jc w:val="left"/>
              <w:rPr>
                <w:rFonts w:ascii="宋体" w:hAnsi="宋体" w:cs="宋体"/>
                <w:kern w:val="0"/>
                <w:sz w:val="20"/>
                <w:szCs w:val="20"/>
              </w:rPr>
            </w:pPr>
            <w:r>
              <w:rPr>
                <w:rFonts w:hint="eastAsia" w:ascii="宋体" w:hAnsi="宋体" w:cs="宋体"/>
                <w:kern w:val="0"/>
                <w:sz w:val="20"/>
                <w:szCs w:val="20"/>
              </w:rPr>
              <w:t>10、支持G.711、G.722、G.729音频协议</w:t>
            </w:r>
          </w:p>
          <w:p w14:paraId="46ECB454">
            <w:pPr>
              <w:widowControl/>
              <w:spacing w:after="240" w:line="240" w:lineRule="auto"/>
              <w:jc w:val="left"/>
              <w:rPr>
                <w:rFonts w:ascii="宋体" w:hAnsi="宋体" w:cs="宋体"/>
                <w:kern w:val="0"/>
                <w:sz w:val="20"/>
                <w:szCs w:val="20"/>
              </w:rPr>
            </w:pPr>
            <w:r>
              <w:rPr>
                <w:rFonts w:hint="eastAsia" w:ascii="宋体" w:hAnsi="宋体" w:cs="宋体"/>
                <w:kern w:val="0"/>
                <w:sz w:val="20"/>
                <w:szCs w:val="20"/>
              </w:rPr>
              <w:t>11、支持双声道立体声功能。系统具备实现唇音同步能力（须提供CNAS认可的检测机构出具的测试报告证明）。</w:t>
            </w:r>
          </w:p>
          <w:p w14:paraId="455F0950">
            <w:pPr>
              <w:widowControl/>
              <w:spacing w:after="240" w:line="240" w:lineRule="auto"/>
              <w:jc w:val="left"/>
              <w:rPr>
                <w:rFonts w:ascii="宋体" w:hAnsi="宋体" w:cs="宋体"/>
                <w:kern w:val="0"/>
                <w:sz w:val="20"/>
                <w:szCs w:val="20"/>
              </w:rPr>
            </w:pPr>
            <w:r>
              <w:rPr>
                <w:rFonts w:hint="eastAsia" w:ascii="宋体" w:hAnsi="宋体" w:cs="宋体"/>
                <w:kern w:val="0"/>
                <w:sz w:val="20"/>
                <w:szCs w:val="20"/>
              </w:rPr>
              <w:t>13、支持解码9路720P标准的视频流同步显示。</w:t>
            </w:r>
          </w:p>
          <w:p w14:paraId="3A2E6AC3">
            <w:pPr>
              <w:widowControl/>
              <w:spacing w:after="240" w:line="240" w:lineRule="auto"/>
              <w:jc w:val="left"/>
              <w:rPr>
                <w:rFonts w:ascii="宋体" w:hAnsi="宋体" w:cs="宋体"/>
                <w:kern w:val="0"/>
                <w:sz w:val="20"/>
                <w:szCs w:val="20"/>
              </w:rPr>
            </w:pPr>
            <w:r>
              <w:rPr>
                <w:rFonts w:hint="eastAsia" w:ascii="宋体" w:hAnsi="宋体" w:cs="宋体"/>
                <w:kern w:val="0"/>
                <w:sz w:val="20"/>
                <w:szCs w:val="20"/>
              </w:rPr>
              <w:t>14、支持有2路视频流同步编码的能力，且每路视频支持双流编码，其中主码流达到1080P 30fps标准。</w:t>
            </w:r>
          </w:p>
          <w:p w14:paraId="6AF9936C">
            <w:pPr>
              <w:widowControl/>
              <w:spacing w:after="240" w:line="240" w:lineRule="auto"/>
              <w:jc w:val="left"/>
              <w:rPr>
                <w:rFonts w:ascii="宋体" w:hAnsi="宋体" w:cs="宋体"/>
                <w:kern w:val="0"/>
                <w:sz w:val="20"/>
                <w:szCs w:val="20"/>
              </w:rPr>
            </w:pPr>
            <w:r>
              <w:rPr>
                <w:rFonts w:hint="eastAsia" w:ascii="宋体" w:hAnsi="宋体" w:cs="宋体"/>
                <w:kern w:val="0"/>
                <w:sz w:val="20"/>
                <w:szCs w:val="20"/>
              </w:rPr>
              <w:t>15、双流编码：每路支持主流（1-15Mbps）、辅流（100K-1Mbps）双流同步编码。</w:t>
            </w:r>
          </w:p>
          <w:p w14:paraId="2D13797B">
            <w:pPr>
              <w:widowControl/>
              <w:spacing w:after="240" w:line="240" w:lineRule="auto"/>
              <w:jc w:val="left"/>
              <w:rPr>
                <w:rFonts w:ascii="宋体" w:hAnsi="宋体" w:cs="宋体"/>
                <w:kern w:val="0"/>
                <w:sz w:val="20"/>
                <w:szCs w:val="20"/>
              </w:rPr>
            </w:pPr>
            <w:r>
              <w:rPr>
                <w:rFonts w:hint="eastAsia" w:ascii="宋体" w:hAnsi="宋体" w:cs="宋体"/>
                <w:kern w:val="0"/>
                <w:sz w:val="20"/>
                <w:szCs w:val="20"/>
              </w:rPr>
              <w:t>16、支持作为桌面显示器使用，支持将院内工作站桌面内容通过视频流发送给远端会场，视频清晰度1080P，支持音频共享。</w:t>
            </w:r>
          </w:p>
          <w:p w14:paraId="2F726A2C">
            <w:pPr>
              <w:widowControl/>
              <w:spacing w:after="240" w:line="240" w:lineRule="auto"/>
              <w:jc w:val="left"/>
              <w:rPr>
                <w:rFonts w:ascii="宋体" w:hAnsi="宋体" w:cs="宋体"/>
                <w:kern w:val="0"/>
                <w:sz w:val="20"/>
                <w:szCs w:val="20"/>
              </w:rPr>
            </w:pPr>
            <w:r>
              <w:rPr>
                <w:rFonts w:hint="eastAsia" w:ascii="宋体" w:hAnsi="宋体" w:cs="宋体"/>
                <w:kern w:val="0"/>
                <w:sz w:val="20"/>
                <w:szCs w:val="20"/>
              </w:rPr>
              <w:t>17、HDMI输入接口≥2、HDMI输出接口≥1（须提供设备接口图片）。音频输出接口≥1。100M/1000M自适应网口≥1。支持USB连接外置键盘鼠标。</w:t>
            </w:r>
          </w:p>
          <w:p w14:paraId="7F1B6F35">
            <w:pPr>
              <w:widowControl/>
              <w:spacing w:after="240" w:line="240" w:lineRule="auto"/>
              <w:jc w:val="left"/>
              <w:rPr>
                <w:rFonts w:ascii="宋体" w:hAnsi="宋体" w:cs="宋体"/>
                <w:kern w:val="0"/>
                <w:sz w:val="20"/>
                <w:szCs w:val="20"/>
              </w:rPr>
            </w:pPr>
            <w:r>
              <w:rPr>
                <w:rFonts w:hint="eastAsia" w:ascii="宋体" w:hAnsi="宋体" w:cs="宋体"/>
                <w:kern w:val="0"/>
                <w:sz w:val="20"/>
                <w:szCs w:val="20"/>
              </w:rPr>
              <w:t>18、具备网络丢包情况下会议保障能力：30%网络 丢包下，视频会议仍可正常进行，70%网络丟包下，音频会议仍可正常进行（须提供CNAS认可的检测机构出具的测试报告证明）。</w:t>
            </w:r>
          </w:p>
          <w:p w14:paraId="2B42AE8A">
            <w:pPr>
              <w:widowControl/>
              <w:spacing w:after="240" w:line="240" w:lineRule="auto"/>
              <w:jc w:val="left"/>
              <w:rPr>
                <w:rFonts w:ascii="宋体" w:hAnsi="宋体" w:cs="宋体"/>
                <w:kern w:val="0"/>
                <w:sz w:val="20"/>
                <w:szCs w:val="20"/>
              </w:rPr>
            </w:pPr>
            <w:r>
              <w:rPr>
                <w:rFonts w:hint="eastAsia" w:ascii="宋体" w:hAnsi="宋体" w:cs="宋体"/>
                <w:kern w:val="0"/>
                <w:sz w:val="20"/>
                <w:szCs w:val="20"/>
              </w:rPr>
              <w:t>19、产品支持良好的视频处理能力 ，支持512Kbps会议带宽下，实现1080P/30帧图像格式编解码；384Kbps会议带宽下，实现720P/30帧图像格式编解码；256Kbps会议带宽下，实现D1/30帧图像格式编解码，最大限度节省用户网络资源。</w:t>
            </w:r>
          </w:p>
          <w:p w14:paraId="6FFFEE96">
            <w:pPr>
              <w:widowControl/>
              <w:spacing w:after="240" w:line="240" w:lineRule="auto"/>
              <w:jc w:val="left"/>
              <w:rPr>
                <w:rFonts w:ascii="宋体" w:hAnsi="宋体" w:cs="宋体"/>
                <w:kern w:val="0"/>
                <w:sz w:val="20"/>
                <w:szCs w:val="20"/>
              </w:rPr>
            </w:pPr>
            <w:r>
              <w:rPr>
                <w:rFonts w:hint="eastAsia" w:ascii="宋体" w:hAnsi="宋体" w:cs="宋体"/>
                <w:kern w:val="0"/>
                <w:sz w:val="20"/>
                <w:szCs w:val="20"/>
              </w:rPr>
              <w:t>20、支持 ITU-TH.323、IETFSIP 协议（须提供CNAS认可的检测机构出具的测试报告证明）。支持防火墙穿越、IPV4和IPV6、IP优先级、超强纠错、丢包重传、视频纠错、音频纠错。支持数据加密能力（须提供CNAS认可的检测机构出具的测试报告证明）</w:t>
            </w:r>
          </w:p>
          <w:p w14:paraId="29A3B368">
            <w:pPr>
              <w:widowControl/>
              <w:spacing w:after="240" w:line="240" w:lineRule="auto"/>
              <w:jc w:val="left"/>
              <w:rPr>
                <w:rFonts w:ascii="宋体" w:hAnsi="宋体" w:cs="宋体"/>
                <w:kern w:val="0"/>
                <w:sz w:val="20"/>
                <w:szCs w:val="20"/>
              </w:rPr>
            </w:pPr>
            <w:r>
              <w:rPr>
                <w:rFonts w:hint="eastAsia" w:ascii="宋体" w:hAnsi="宋体" w:cs="宋体"/>
                <w:kern w:val="0"/>
                <w:sz w:val="20"/>
                <w:szCs w:val="20"/>
              </w:rPr>
              <w:t>21、支持多种分辨率、速率和帧率的视频码流（同时发送2路视频码流，接收9路视频码流），以适应不同线路带宽、不同设备能力、不同网络环境下的组网要求。支持在终端的扩展视频输出的能力，可外接大屏幕电视，受控显示本地和远端会场画面，支持多画面显示。支持丢包率5%,延迟200ms网络抖动50ma时，视讯服务不受影响（须提供CNAS认可的检测机构出具的测试报告证明）。支持自环检测，音频、视频输入输出检测，网络测试。支持断网恢复后，终端自动入会的能力。支持通过USB接口自动导入终端升级，方便设备的安装部署。支持外接云台摇杆，远程控制远端设备摄像头变倍、方向移动。</w:t>
            </w:r>
          </w:p>
          <w:p w14:paraId="39037FBB">
            <w:pPr>
              <w:widowControl/>
              <w:spacing w:after="240" w:line="240" w:lineRule="auto"/>
              <w:jc w:val="left"/>
              <w:rPr>
                <w:rFonts w:ascii="宋体" w:hAnsi="宋体" w:cs="宋体"/>
                <w:kern w:val="0"/>
                <w:sz w:val="20"/>
                <w:szCs w:val="20"/>
              </w:rPr>
            </w:pPr>
          </w:p>
        </w:tc>
        <w:tc>
          <w:tcPr>
            <w:tcW w:w="415" w:type="pct"/>
            <w:tcBorders>
              <w:top w:val="nil"/>
              <w:left w:val="nil"/>
              <w:bottom w:val="single" w:color="auto" w:sz="4" w:space="0"/>
              <w:right w:val="single" w:color="auto" w:sz="4" w:space="0"/>
            </w:tcBorders>
            <w:shd w:val="clear" w:color="auto" w:fill="auto"/>
            <w:vAlign w:val="center"/>
          </w:tcPr>
          <w:p w14:paraId="3BBC66FD">
            <w:pPr>
              <w:widowControl/>
              <w:spacing w:line="240" w:lineRule="auto"/>
              <w:jc w:val="center"/>
              <w:rPr>
                <w:rFonts w:ascii="宋体" w:hAnsi="宋体" w:cs="宋体"/>
                <w:kern w:val="0"/>
                <w:sz w:val="20"/>
                <w:szCs w:val="20"/>
              </w:rPr>
            </w:pPr>
            <w:r>
              <w:rPr>
                <w:rFonts w:hint="eastAsia" w:ascii="宋体" w:hAnsi="宋体" w:cs="宋体"/>
                <w:kern w:val="0"/>
                <w:sz w:val="20"/>
                <w:szCs w:val="20"/>
              </w:rPr>
              <w:t>1</w:t>
            </w:r>
          </w:p>
        </w:tc>
        <w:tc>
          <w:tcPr>
            <w:tcW w:w="409" w:type="pct"/>
            <w:tcBorders>
              <w:top w:val="nil"/>
              <w:left w:val="nil"/>
              <w:bottom w:val="single" w:color="auto" w:sz="4" w:space="0"/>
              <w:right w:val="single" w:color="auto" w:sz="4" w:space="0"/>
            </w:tcBorders>
            <w:shd w:val="clear" w:color="auto" w:fill="auto"/>
            <w:vAlign w:val="center"/>
          </w:tcPr>
          <w:p w14:paraId="06773764">
            <w:pPr>
              <w:widowControl/>
              <w:spacing w:line="240" w:lineRule="auto"/>
              <w:jc w:val="center"/>
              <w:rPr>
                <w:rFonts w:ascii="宋体" w:hAnsi="宋体" w:cs="宋体"/>
                <w:kern w:val="0"/>
                <w:sz w:val="20"/>
                <w:szCs w:val="20"/>
              </w:rPr>
            </w:pPr>
            <w:r>
              <w:rPr>
                <w:rFonts w:hint="eastAsia" w:ascii="宋体" w:hAnsi="宋体" w:cs="宋体"/>
                <w:kern w:val="0"/>
                <w:sz w:val="20"/>
                <w:szCs w:val="20"/>
              </w:rPr>
              <w:t>台</w:t>
            </w:r>
          </w:p>
        </w:tc>
        <w:tc>
          <w:tcPr>
            <w:tcW w:w="473" w:type="pct"/>
            <w:tcBorders>
              <w:top w:val="nil"/>
              <w:left w:val="nil"/>
              <w:bottom w:val="single" w:color="auto" w:sz="4" w:space="0"/>
              <w:right w:val="single" w:color="auto" w:sz="4" w:space="0"/>
            </w:tcBorders>
            <w:shd w:val="clear" w:color="auto" w:fill="auto"/>
            <w:vAlign w:val="center"/>
          </w:tcPr>
          <w:p w14:paraId="4104F0F1">
            <w:pPr>
              <w:widowControl/>
              <w:spacing w:line="240" w:lineRule="auto"/>
              <w:jc w:val="center"/>
              <w:rPr>
                <w:rFonts w:ascii="宋体" w:hAnsi="宋体" w:cs="宋体"/>
                <w:kern w:val="0"/>
                <w:sz w:val="18"/>
                <w:szCs w:val="18"/>
              </w:rPr>
            </w:pPr>
            <w:r>
              <w:rPr>
                <w:rFonts w:hint="eastAsia" w:ascii="宋体" w:hAnsi="宋体" w:cs="宋体"/>
                <w:kern w:val="0"/>
                <w:sz w:val="18"/>
                <w:szCs w:val="18"/>
              </w:rPr>
              <w:t xml:space="preserve">  </w:t>
            </w:r>
          </w:p>
        </w:tc>
      </w:tr>
      <w:tr w14:paraId="0C69C775">
        <w:tblPrEx>
          <w:tblCellMar>
            <w:top w:w="0" w:type="dxa"/>
            <w:left w:w="108" w:type="dxa"/>
            <w:bottom w:w="0" w:type="dxa"/>
            <w:right w:w="108" w:type="dxa"/>
          </w:tblCellMar>
        </w:tblPrEx>
        <w:trPr>
          <w:trHeight w:val="551" w:hRule="atLeast"/>
        </w:trPr>
        <w:tc>
          <w:tcPr>
            <w:tcW w:w="5000" w:type="pct"/>
            <w:gridSpan w:val="6"/>
            <w:tcBorders>
              <w:top w:val="nil"/>
              <w:left w:val="single" w:color="auto" w:sz="4" w:space="0"/>
              <w:bottom w:val="single" w:color="auto" w:sz="4" w:space="0"/>
              <w:right w:val="single" w:color="auto" w:sz="4" w:space="0"/>
            </w:tcBorders>
            <w:shd w:val="clear" w:color="000000" w:fill="F2F2F2"/>
            <w:noWrap/>
            <w:vAlign w:val="center"/>
          </w:tcPr>
          <w:p w14:paraId="767FA1D4">
            <w:pPr>
              <w:widowControl/>
              <w:spacing w:line="240" w:lineRule="auto"/>
              <w:jc w:val="center"/>
              <w:rPr>
                <w:rFonts w:ascii="宋体" w:hAnsi="宋体" w:cs="宋体"/>
                <w:b/>
                <w:bCs/>
                <w:color w:val="000000"/>
                <w:kern w:val="0"/>
                <w:sz w:val="20"/>
                <w:szCs w:val="20"/>
              </w:rPr>
            </w:pPr>
            <w:r>
              <w:rPr>
                <w:rFonts w:hint="eastAsia" w:ascii="宋体" w:hAnsi="宋体" w:cs="宋体"/>
                <w:b/>
                <w:bCs/>
                <w:color w:val="000000"/>
                <w:kern w:val="0"/>
                <w:sz w:val="20"/>
                <w:szCs w:val="20"/>
              </w:rPr>
              <w:t>医院急救急诊设备</w:t>
            </w:r>
          </w:p>
        </w:tc>
      </w:tr>
      <w:tr w14:paraId="3D8C87AD">
        <w:tblPrEx>
          <w:tblCellMar>
            <w:top w:w="0" w:type="dxa"/>
            <w:left w:w="108" w:type="dxa"/>
            <w:bottom w:w="0" w:type="dxa"/>
            <w:right w:w="108" w:type="dxa"/>
          </w:tblCellMar>
        </w:tblPrEx>
        <w:trPr>
          <w:trHeight w:val="300" w:hRule="atLeast"/>
        </w:trPr>
        <w:tc>
          <w:tcPr>
            <w:tcW w:w="460" w:type="pct"/>
            <w:tcBorders>
              <w:top w:val="nil"/>
              <w:left w:val="single" w:color="auto" w:sz="4" w:space="0"/>
              <w:bottom w:val="single" w:color="auto" w:sz="4" w:space="0"/>
              <w:right w:val="single" w:color="auto" w:sz="4" w:space="0"/>
            </w:tcBorders>
            <w:shd w:val="clear" w:color="000000" w:fill="F2F2F2"/>
            <w:noWrap/>
            <w:vAlign w:val="center"/>
          </w:tcPr>
          <w:p w14:paraId="7DA344CC">
            <w:pPr>
              <w:widowControl/>
              <w:spacing w:line="240" w:lineRule="auto"/>
              <w:jc w:val="center"/>
              <w:rPr>
                <w:rFonts w:ascii="宋体" w:hAnsi="宋体" w:cs="宋体"/>
                <w:b/>
                <w:bCs/>
                <w:kern w:val="0"/>
                <w:sz w:val="20"/>
                <w:szCs w:val="20"/>
              </w:rPr>
            </w:pPr>
            <w:r>
              <w:rPr>
                <w:rFonts w:hint="eastAsia" w:ascii="宋体" w:hAnsi="宋体" w:cs="宋体"/>
                <w:b/>
                <w:bCs/>
                <w:kern w:val="0"/>
                <w:sz w:val="20"/>
                <w:szCs w:val="20"/>
              </w:rPr>
              <w:t>序号</w:t>
            </w:r>
          </w:p>
        </w:tc>
        <w:tc>
          <w:tcPr>
            <w:tcW w:w="617" w:type="pct"/>
            <w:tcBorders>
              <w:top w:val="nil"/>
              <w:left w:val="nil"/>
              <w:bottom w:val="single" w:color="auto" w:sz="4" w:space="0"/>
              <w:right w:val="single" w:color="auto" w:sz="4" w:space="0"/>
            </w:tcBorders>
            <w:shd w:val="clear" w:color="000000" w:fill="F2F2F2"/>
            <w:noWrap/>
            <w:vAlign w:val="center"/>
          </w:tcPr>
          <w:p w14:paraId="5E93AE66">
            <w:pPr>
              <w:widowControl/>
              <w:spacing w:line="240" w:lineRule="auto"/>
              <w:jc w:val="left"/>
              <w:rPr>
                <w:rFonts w:ascii="宋体" w:hAnsi="宋体" w:cs="宋体"/>
                <w:b/>
                <w:bCs/>
                <w:kern w:val="0"/>
                <w:sz w:val="20"/>
                <w:szCs w:val="20"/>
              </w:rPr>
            </w:pPr>
            <w:r>
              <w:rPr>
                <w:rFonts w:hint="eastAsia" w:ascii="宋体" w:hAnsi="宋体" w:cs="宋体"/>
                <w:b/>
                <w:bCs/>
                <w:kern w:val="0"/>
                <w:sz w:val="20"/>
                <w:szCs w:val="20"/>
              </w:rPr>
              <w:t>名称</w:t>
            </w:r>
          </w:p>
        </w:tc>
        <w:tc>
          <w:tcPr>
            <w:tcW w:w="2623" w:type="pct"/>
            <w:tcBorders>
              <w:top w:val="nil"/>
              <w:left w:val="nil"/>
              <w:bottom w:val="single" w:color="auto" w:sz="4" w:space="0"/>
              <w:right w:val="single" w:color="auto" w:sz="4" w:space="0"/>
            </w:tcBorders>
            <w:shd w:val="clear" w:color="000000" w:fill="F2F2F2"/>
            <w:noWrap/>
            <w:vAlign w:val="center"/>
          </w:tcPr>
          <w:p w14:paraId="5680A101">
            <w:pPr>
              <w:widowControl/>
              <w:spacing w:line="240" w:lineRule="auto"/>
              <w:jc w:val="left"/>
              <w:rPr>
                <w:rFonts w:ascii="宋体" w:hAnsi="宋体" w:cs="宋体"/>
                <w:b/>
                <w:bCs/>
                <w:kern w:val="0"/>
                <w:sz w:val="20"/>
                <w:szCs w:val="20"/>
              </w:rPr>
            </w:pPr>
            <w:r>
              <w:rPr>
                <w:rFonts w:hint="eastAsia" w:ascii="宋体" w:hAnsi="宋体" w:cs="宋体"/>
                <w:b/>
                <w:bCs/>
                <w:kern w:val="0"/>
                <w:sz w:val="20"/>
                <w:szCs w:val="20"/>
              </w:rPr>
              <w:t>规格</w:t>
            </w:r>
          </w:p>
        </w:tc>
        <w:tc>
          <w:tcPr>
            <w:tcW w:w="415" w:type="pct"/>
            <w:tcBorders>
              <w:top w:val="nil"/>
              <w:left w:val="nil"/>
              <w:bottom w:val="single" w:color="auto" w:sz="4" w:space="0"/>
              <w:right w:val="single" w:color="auto" w:sz="4" w:space="0"/>
            </w:tcBorders>
            <w:shd w:val="clear" w:color="000000" w:fill="F2F2F2"/>
            <w:noWrap/>
            <w:vAlign w:val="center"/>
          </w:tcPr>
          <w:p w14:paraId="368EB0AE">
            <w:pPr>
              <w:widowControl/>
              <w:spacing w:line="240" w:lineRule="auto"/>
              <w:jc w:val="center"/>
              <w:rPr>
                <w:rFonts w:ascii="宋体" w:hAnsi="宋体" w:cs="宋体"/>
                <w:b/>
                <w:bCs/>
                <w:color w:val="000000"/>
                <w:kern w:val="0"/>
                <w:sz w:val="20"/>
                <w:szCs w:val="20"/>
              </w:rPr>
            </w:pPr>
            <w:r>
              <w:rPr>
                <w:rFonts w:hint="eastAsia" w:ascii="宋体" w:hAnsi="宋体" w:cs="宋体"/>
                <w:b/>
                <w:bCs/>
                <w:color w:val="000000"/>
                <w:kern w:val="0"/>
                <w:sz w:val="20"/>
                <w:szCs w:val="20"/>
              </w:rPr>
              <w:t>数量</w:t>
            </w:r>
          </w:p>
        </w:tc>
        <w:tc>
          <w:tcPr>
            <w:tcW w:w="409" w:type="pct"/>
            <w:tcBorders>
              <w:top w:val="nil"/>
              <w:left w:val="nil"/>
              <w:bottom w:val="single" w:color="auto" w:sz="4" w:space="0"/>
              <w:right w:val="single" w:color="auto" w:sz="4" w:space="0"/>
            </w:tcBorders>
            <w:shd w:val="clear" w:color="000000" w:fill="F2F2F2"/>
            <w:noWrap/>
            <w:vAlign w:val="center"/>
          </w:tcPr>
          <w:p w14:paraId="304764E4">
            <w:pPr>
              <w:widowControl/>
              <w:spacing w:line="240" w:lineRule="auto"/>
              <w:jc w:val="center"/>
              <w:rPr>
                <w:rFonts w:ascii="宋体" w:hAnsi="宋体" w:cs="宋体"/>
                <w:b/>
                <w:bCs/>
                <w:color w:val="000000"/>
                <w:kern w:val="0"/>
                <w:sz w:val="20"/>
                <w:szCs w:val="20"/>
              </w:rPr>
            </w:pPr>
            <w:r>
              <w:rPr>
                <w:rFonts w:hint="eastAsia" w:ascii="宋体" w:hAnsi="宋体" w:cs="宋体"/>
                <w:b/>
                <w:bCs/>
                <w:color w:val="000000"/>
                <w:kern w:val="0"/>
                <w:sz w:val="20"/>
                <w:szCs w:val="20"/>
              </w:rPr>
              <w:t>单位</w:t>
            </w:r>
          </w:p>
        </w:tc>
        <w:tc>
          <w:tcPr>
            <w:tcW w:w="473" w:type="pct"/>
            <w:tcBorders>
              <w:top w:val="nil"/>
              <w:left w:val="nil"/>
              <w:bottom w:val="single" w:color="auto" w:sz="4" w:space="0"/>
              <w:right w:val="single" w:color="auto" w:sz="4" w:space="0"/>
            </w:tcBorders>
            <w:shd w:val="clear" w:color="000000" w:fill="F2F2F2"/>
            <w:noWrap/>
            <w:vAlign w:val="center"/>
          </w:tcPr>
          <w:p w14:paraId="593EA3D9">
            <w:pPr>
              <w:widowControl/>
              <w:spacing w:line="240" w:lineRule="auto"/>
              <w:jc w:val="center"/>
              <w:rPr>
                <w:rFonts w:ascii="宋体" w:hAnsi="宋体" w:cs="宋体"/>
                <w:b/>
                <w:bCs/>
                <w:color w:val="000000"/>
                <w:kern w:val="0"/>
                <w:sz w:val="20"/>
                <w:szCs w:val="20"/>
              </w:rPr>
            </w:pPr>
            <w:r>
              <w:rPr>
                <w:rFonts w:hint="eastAsia" w:ascii="宋体" w:hAnsi="宋体" w:cs="宋体"/>
                <w:b/>
                <w:bCs/>
                <w:color w:val="000000"/>
                <w:kern w:val="0"/>
                <w:sz w:val="20"/>
                <w:szCs w:val="20"/>
              </w:rPr>
              <w:t>备注</w:t>
            </w:r>
          </w:p>
        </w:tc>
      </w:tr>
      <w:tr w14:paraId="225F7E45">
        <w:tblPrEx>
          <w:tblCellMar>
            <w:top w:w="0" w:type="dxa"/>
            <w:left w:w="108" w:type="dxa"/>
            <w:bottom w:w="0" w:type="dxa"/>
            <w:right w:w="108" w:type="dxa"/>
          </w:tblCellMar>
        </w:tblPrEx>
        <w:trPr>
          <w:trHeight w:val="836" w:hRule="atLeast"/>
        </w:trPr>
        <w:tc>
          <w:tcPr>
            <w:tcW w:w="460" w:type="pct"/>
            <w:tcBorders>
              <w:top w:val="nil"/>
              <w:left w:val="single" w:color="auto" w:sz="4" w:space="0"/>
              <w:bottom w:val="single" w:color="auto" w:sz="4" w:space="0"/>
              <w:right w:val="single" w:color="auto" w:sz="4" w:space="0"/>
            </w:tcBorders>
            <w:shd w:val="clear" w:color="auto" w:fill="auto"/>
            <w:noWrap/>
            <w:vAlign w:val="center"/>
          </w:tcPr>
          <w:p w14:paraId="64DEDB23">
            <w:pPr>
              <w:widowControl/>
              <w:spacing w:line="240" w:lineRule="auto"/>
              <w:jc w:val="center"/>
              <w:rPr>
                <w:rFonts w:ascii="宋体" w:hAnsi="宋体" w:cs="宋体"/>
                <w:kern w:val="0"/>
                <w:sz w:val="20"/>
                <w:szCs w:val="20"/>
              </w:rPr>
            </w:pPr>
            <w:r>
              <w:rPr>
                <w:rFonts w:hint="eastAsia" w:ascii="宋体" w:hAnsi="宋体" w:cs="宋体"/>
                <w:kern w:val="0"/>
                <w:sz w:val="20"/>
                <w:szCs w:val="20"/>
              </w:rPr>
              <w:t>1</w:t>
            </w:r>
          </w:p>
        </w:tc>
        <w:tc>
          <w:tcPr>
            <w:tcW w:w="617" w:type="pct"/>
            <w:tcBorders>
              <w:top w:val="nil"/>
              <w:left w:val="nil"/>
              <w:bottom w:val="single" w:color="auto" w:sz="4" w:space="0"/>
              <w:right w:val="single" w:color="auto" w:sz="4" w:space="0"/>
            </w:tcBorders>
            <w:shd w:val="clear" w:color="auto" w:fill="auto"/>
            <w:vAlign w:val="center"/>
          </w:tcPr>
          <w:p w14:paraId="4B190BFC">
            <w:pPr>
              <w:widowControl/>
              <w:spacing w:line="240" w:lineRule="auto"/>
              <w:jc w:val="left"/>
              <w:rPr>
                <w:rFonts w:ascii="宋体" w:hAnsi="宋体" w:cs="宋体"/>
                <w:kern w:val="0"/>
                <w:sz w:val="20"/>
                <w:szCs w:val="20"/>
              </w:rPr>
            </w:pPr>
            <w:r>
              <w:rPr>
                <w:rFonts w:hint="eastAsia" w:ascii="宋体" w:hAnsi="宋体" w:cs="宋体"/>
                <w:kern w:val="0"/>
                <w:sz w:val="20"/>
                <w:szCs w:val="20"/>
              </w:rPr>
              <w:t>急救车载一体机</w:t>
            </w:r>
          </w:p>
        </w:tc>
        <w:tc>
          <w:tcPr>
            <w:tcW w:w="2623" w:type="pct"/>
            <w:tcBorders>
              <w:top w:val="nil"/>
              <w:left w:val="nil"/>
              <w:bottom w:val="single" w:color="auto" w:sz="4" w:space="0"/>
              <w:right w:val="single" w:color="auto" w:sz="4" w:space="0"/>
            </w:tcBorders>
            <w:shd w:val="clear" w:color="auto" w:fill="auto"/>
            <w:vAlign w:val="center"/>
          </w:tcPr>
          <w:p w14:paraId="196AB20C">
            <w:pPr>
              <w:widowControl/>
              <w:spacing w:line="240" w:lineRule="auto"/>
              <w:jc w:val="left"/>
              <w:rPr>
                <w:rFonts w:ascii="宋体" w:hAnsi="宋体" w:cs="宋体"/>
                <w:kern w:val="0"/>
                <w:sz w:val="20"/>
                <w:szCs w:val="20"/>
              </w:rPr>
            </w:pPr>
            <w:r>
              <w:rPr>
                <w:rFonts w:hint="eastAsia" w:ascii="宋体" w:hAnsi="宋体" w:cs="宋体"/>
                <w:kern w:val="0"/>
                <w:sz w:val="20"/>
                <w:szCs w:val="20"/>
              </w:rPr>
              <w:t>国产自主嵌入式操作系统</w:t>
            </w:r>
          </w:p>
          <w:p w14:paraId="78911B16">
            <w:pPr>
              <w:widowControl/>
              <w:spacing w:line="240" w:lineRule="auto"/>
              <w:jc w:val="left"/>
              <w:rPr>
                <w:rFonts w:ascii="宋体" w:hAnsi="宋体" w:cs="宋体"/>
                <w:kern w:val="0"/>
                <w:sz w:val="20"/>
                <w:szCs w:val="20"/>
              </w:rPr>
            </w:pPr>
            <w:r>
              <w:rPr>
                <w:rFonts w:hint="eastAsia" w:ascii="宋体" w:hAnsi="宋体" w:cs="宋体"/>
                <w:kern w:val="0"/>
                <w:sz w:val="20"/>
                <w:szCs w:val="20"/>
              </w:rPr>
              <w:t>屏尺寸：13.3英寸触摸一体机</w:t>
            </w:r>
          </w:p>
          <w:p w14:paraId="7F1734ED">
            <w:pPr>
              <w:widowControl/>
              <w:spacing w:line="240" w:lineRule="auto"/>
              <w:jc w:val="left"/>
              <w:rPr>
                <w:rFonts w:ascii="宋体" w:hAnsi="宋体" w:cs="宋体"/>
                <w:kern w:val="0"/>
                <w:sz w:val="20"/>
                <w:szCs w:val="20"/>
              </w:rPr>
            </w:pPr>
            <w:r>
              <w:rPr>
                <w:rFonts w:hint="eastAsia" w:ascii="宋体" w:hAnsi="宋体" w:cs="宋体"/>
                <w:kern w:val="0"/>
                <w:sz w:val="20"/>
                <w:szCs w:val="20"/>
              </w:rPr>
              <w:t>存储：≥1T、多路摄像头监控存储</w:t>
            </w:r>
          </w:p>
          <w:p w14:paraId="50C5A166">
            <w:pPr>
              <w:widowControl/>
              <w:spacing w:line="240" w:lineRule="auto"/>
              <w:jc w:val="left"/>
              <w:rPr>
                <w:rFonts w:ascii="宋体" w:hAnsi="宋体" w:cs="宋体"/>
                <w:kern w:val="0"/>
                <w:sz w:val="20"/>
                <w:szCs w:val="20"/>
              </w:rPr>
            </w:pPr>
            <w:r>
              <w:rPr>
                <w:rFonts w:hint="eastAsia" w:ascii="宋体" w:hAnsi="宋体" w:cs="宋体"/>
                <w:kern w:val="0"/>
                <w:sz w:val="20"/>
                <w:szCs w:val="20"/>
              </w:rPr>
              <w:t>音视频输出输入:私密话机、内置麦克风、喇叭、摄像头、RFID/身份证信息读卡器</w:t>
            </w:r>
          </w:p>
          <w:p w14:paraId="07E3AB00">
            <w:pPr>
              <w:widowControl/>
              <w:spacing w:line="240" w:lineRule="auto"/>
              <w:jc w:val="left"/>
              <w:rPr>
                <w:rFonts w:ascii="宋体" w:hAnsi="宋体" w:cs="宋体"/>
                <w:kern w:val="0"/>
                <w:sz w:val="20"/>
                <w:szCs w:val="20"/>
              </w:rPr>
            </w:pPr>
            <w:r>
              <w:rPr>
                <w:rFonts w:hint="eastAsia" w:ascii="宋体" w:hAnsi="宋体" w:cs="宋体"/>
                <w:kern w:val="0"/>
                <w:sz w:val="20"/>
                <w:szCs w:val="20"/>
              </w:rPr>
              <w:t xml:space="preserve">视频接口： HDMI-OUT*2、HDMI-IN*4 </w:t>
            </w:r>
          </w:p>
          <w:p w14:paraId="7B572F87">
            <w:pPr>
              <w:widowControl/>
              <w:spacing w:line="240" w:lineRule="auto"/>
              <w:jc w:val="left"/>
              <w:rPr>
                <w:rFonts w:ascii="宋体" w:hAnsi="宋体" w:cs="宋体"/>
                <w:kern w:val="0"/>
                <w:sz w:val="20"/>
                <w:szCs w:val="20"/>
              </w:rPr>
            </w:pPr>
            <w:r>
              <w:rPr>
                <w:rFonts w:hint="eastAsia" w:ascii="宋体" w:hAnsi="宋体" w:cs="宋体"/>
                <w:kern w:val="0"/>
                <w:sz w:val="20"/>
                <w:szCs w:val="20"/>
              </w:rPr>
              <w:t>音频接口：Line-in*1、Line-out*1、</w:t>
            </w:r>
          </w:p>
          <w:p w14:paraId="34287D4B">
            <w:pPr>
              <w:widowControl/>
              <w:spacing w:line="240" w:lineRule="auto"/>
              <w:jc w:val="left"/>
              <w:rPr>
                <w:rFonts w:ascii="宋体" w:hAnsi="宋体" w:cs="宋体"/>
                <w:kern w:val="0"/>
                <w:sz w:val="20"/>
                <w:szCs w:val="20"/>
              </w:rPr>
            </w:pPr>
            <w:r>
              <w:rPr>
                <w:rFonts w:hint="eastAsia" w:ascii="宋体" w:hAnsi="宋体" w:cs="宋体"/>
                <w:kern w:val="0"/>
                <w:sz w:val="20"/>
                <w:szCs w:val="20"/>
              </w:rPr>
              <w:t>网络接口：10/100/1000M 以太网口*1  4G/5G网络接入。</w:t>
            </w:r>
          </w:p>
          <w:p w14:paraId="6B57F433">
            <w:pPr>
              <w:widowControl/>
              <w:spacing w:line="240" w:lineRule="auto"/>
              <w:jc w:val="left"/>
              <w:rPr>
                <w:rFonts w:ascii="宋体" w:hAnsi="宋体" w:cs="宋体"/>
                <w:kern w:val="0"/>
                <w:sz w:val="20"/>
                <w:szCs w:val="20"/>
              </w:rPr>
            </w:pPr>
            <w:r>
              <w:rPr>
                <w:rFonts w:hint="eastAsia" w:ascii="宋体" w:hAnsi="宋体" w:cs="宋体"/>
                <w:kern w:val="0"/>
                <w:sz w:val="20"/>
                <w:szCs w:val="20"/>
              </w:rPr>
              <w:t>具有车辆实时监控、存储；一键呼叫远程会诊等。</w:t>
            </w:r>
          </w:p>
          <w:p w14:paraId="1C46BDB6">
            <w:pPr>
              <w:widowControl/>
              <w:spacing w:line="240" w:lineRule="auto"/>
              <w:jc w:val="left"/>
              <w:rPr>
                <w:rFonts w:ascii="宋体" w:hAnsi="宋体" w:cs="宋体"/>
                <w:kern w:val="0"/>
                <w:sz w:val="20"/>
                <w:szCs w:val="20"/>
              </w:rPr>
            </w:pPr>
            <w:r>
              <w:rPr>
                <w:rFonts w:hint="eastAsia" w:ascii="宋体" w:hAnsi="宋体" w:cs="宋体"/>
                <w:kern w:val="0"/>
                <w:sz w:val="20"/>
                <w:szCs w:val="20"/>
              </w:rPr>
              <w:t>支持最多 8 路车内视频数据采集同时编码 支持移动流量场景，多路视车内频混合输出</w:t>
            </w:r>
          </w:p>
          <w:p w14:paraId="1A670B07">
            <w:pPr>
              <w:widowControl/>
              <w:spacing w:line="240" w:lineRule="auto"/>
              <w:jc w:val="left"/>
              <w:rPr>
                <w:rFonts w:ascii="宋体" w:hAnsi="宋体" w:cs="宋体"/>
                <w:kern w:val="0"/>
                <w:sz w:val="20"/>
                <w:szCs w:val="20"/>
              </w:rPr>
            </w:pPr>
            <w:r>
              <w:rPr>
                <w:rFonts w:hint="eastAsia" w:ascii="宋体" w:hAnsi="宋体" w:cs="宋体"/>
                <w:kern w:val="0"/>
                <w:sz w:val="20"/>
                <w:szCs w:val="20"/>
              </w:rPr>
              <w:t>支持监护仪、心电图机、分析仪等专业医疗设备数据采集传输；</w:t>
            </w:r>
          </w:p>
          <w:p w14:paraId="14D98CEB">
            <w:pPr>
              <w:widowControl/>
              <w:spacing w:line="240" w:lineRule="auto"/>
              <w:jc w:val="left"/>
              <w:rPr>
                <w:rFonts w:ascii="宋体" w:hAnsi="宋体" w:cs="宋体"/>
                <w:kern w:val="0"/>
                <w:sz w:val="20"/>
                <w:szCs w:val="20"/>
              </w:rPr>
            </w:pPr>
            <w:r>
              <w:rPr>
                <w:rFonts w:hint="eastAsia" w:ascii="宋体" w:hAnsi="宋体" w:cs="宋体"/>
                <w:kern w:val="0"/>
                <w:sz w:val="20"/>
                <w:szCs w:val="20"/>
              </w:rPr>
              <w:t>内置短信邀请链接，不需要安装任何软件，进入视频会议。</w:t>
            </w:r>
          </w:p>
          <w:p w14:paraId="2665CE7B">
            <w:pPr>
              <w:widowControl/>
              <w:spacing w:line="240" w:lineRule="auto"/>
              <w:jc w:val="left"/>
              <w:rPr>
                <w:rFonts w:ascii="宋体" w:hAnsi="宋体" w:cs="宋体"/>
                <w:kern w:val="0"/>
                <w:sz w:val="20"/>
                <w:szCs w:val="20"/>
              </w:rPr>
            </w:pPr>
            <w:r>
              <w:rPr>
                <w:rFonts w:hint="eastAsia" w:ascii="宋体" w:hAnsi="宋体" w:cs="宋体"/>
                <w:kern w:val="0"/>
                <w:sz w:val="20"/>
                <w:szCs w:val="20"/>
              </w:rPr>
              <w:t>支持H.265、H.264 HP、H.264 BP、H.264 SVC等图像编码协议。</w:t>
            </w:r>
          </w:p>
          <w:p w14:paraId="7C2A6215">
            <w:pPr>
              <w:widowControl/>
              <w:spacing w:line="240" w:lineRule="auto"/>
              <w:jc w:val="left"/>
              <w:rPr>
                <w:rFonts w:ascii="宋体" w:hAnsi="宋体" w:cs="宋体"/>
                <w:kern w:val="0"/>
                <w:sz w:val="20"/>
                <w:szCs w:val="20"/>
              </w:rPr>
            </w:pPr>
            <w:r>
              <w:rPr>
                <w:rFonts w:hint="eastAsia" w:ascii="宋体" w:hAnsi="宋体" w:cs="宋体"/>
                <w:kern w:val="0"/>
                <w:sz w:val="20"/>
                <w:szCs w:val="20"/>
              </w:rPr>
              <w:t>支持16 路 1080p15 H.265/H.264 的编码能力，支持 2 路 4K 视频编码，支持 4K@60fps 高清视频画面，并向下兼容 1080P60、720P、4CIF、480P、CIF、320*240、176*144、160*120 等分辨 符合要求率，三合一码流：支持超高清（2-15Mbps）、标清（500K-1Mbps）、流畅（500K 以下）同步编码</w:t>
            </w:r>
          </w:p>
          <w:p w14:paraId="6DEF6B32">
            <w:pPr>
              <w:widowControl/>
              <w:spacing w:line="240" w:lineRule="auto"/>
              <w:jc w:val="left"/>
              <w:rPr>
                <w:rFonts w:ascii="宋体" w:hAnsi="宋体" w:cs="宋体"/>
                <w:kern w:val="0"/>
                <w:sz w:val="20"/>
                <w:szCs w:val="20"/>
              </w:rPr>
            </w:pPr>
            <w:r>
              <w:rPr>
                <w:rFonts w:hint="eastAsia" w:ascii="宋体" w:hAnsi="宋体" w:cs="宋体"/>
                <w:kern w:val="0"/>
                <w:sz w:val="20"/>
                <w:szCs w:val="20"/>
              </w:rPr>
              <w:t>支持多路智能混音特性，支持多种音频格式终端加入同一会议，支持多达 6 方混音服务，支持 G.711a/μ、G.726、G.722、G.722.1C、G.722.1、G.729A、OPUS、AAC 音频编解码协议，支 符合要求持采集语音自动调节、自动增益、音频降噪、回音消除、静音控制。</w:t>
            </w:r>
          </w:p>
          <w:p w14:paraId="3E8ABD83">
            <w:pPr>
              <w:widowControl/>
              <w:spacing w:line="240" w:lineRule="auto"/>
              <w:jc w:val="left"/>
              <w:rPr>
                <w:rFonts w:ascii="宋体" w:hAnsi="宋体" w:cs="宋体"/>
                <w:kern w:val="0"/>
                <w:sz w:val="20"/>
                <w:szCs w:val="20"/>
              </w:rPr>
            </w:pPr>
            <w:r>
              <w:rPr>
                <w:rFonts w:hint="eastAsia" w:ascii="宋体" w:hAnsi="宋体" w:cs="宋体"/>
                <w:kern w:val="0"/>
                <w:sz w:val="20"/>
                <w:szCs w:val="20"/>
              </w:rPr>
              <w:t>提供REST接口，实现与第三方系统集成</w:t>
            </w:r>
          </w:p>
        </w:tc>
        <w:tc>
          <w:tcPr>
            <w:tcW w:w="415" w:type="pct"/>
            <w:tcBorders>
              <w:top w:val="nil"/>
              <w:left w:val="nil"/>
              <w:bottom w:val="single" w:color="auto" w:sz="4" w:space="0"/>
              <w:right w:val="single" w:color="auto" w:sz="4" w:space="0"/>
            </w:tcBorders>
            <w:shd w:val="clear" w:color="auto" w:fill="auto"/>
            <w:vAlign w:val="center"/>
          </w:tcPr>
          <w:p w14:paraId="35D0654E">
            <w:pPr>
              <w:widowControl/>
              <w:spacing w:line="240" w:lineRule="auto"/>
              <w:jc w:val="center"/>
              <w:rPr>
                <w:rFonts w:ascii="宋体" w:hAnsi="宋体" w:cs="宋体"/>
                <w:kern w:val="0"/>
                <w:sz w:val="20"/>
                <w:szCs w:val="20"/>
              </w:rPr>
            </w:pPr>
            <w:r>
              <w:rPr>
                <w:rFonts w:hint="eastAsia" w:ascii="宋体" w:hAnsi="宋体" w:cs="宋体"/>
                <w:kern w:val="0"/>
                <w:sz w:val="20"/>
                <w:szCs w:val="20"/>
              </w:rPr>
              <w:t>8</w:t>
            </w:r>
          </w:p>
        </w:tc>
        <w:tc>
          <w:tcPr>
            <w:tcW w:w="409" w:type="pct"/>
            <w:tcBorders>
              <w:top w:val="nil"/>
              <w:left w:val="nil"/>
              <w:bottom w:val="single" w:color="auto" w:sz="4" w:space="0"/>
              <w:right w:val="single" w:color="auto" w:sz="4" w:space="0"/>
            </w:tcBorders>
            <w:shd w:val="clear" w:color="auto" w:fill="auto"/>
            <w:vAlign w:val="center"/>
          </w:tcPr>
          <w:p w14:paraId="449ED7E4">
            <w:pPr>
              <w:widowControl/>
              <w:spacing w:line="240" w:lineRule="auto"/>
              <w:jc w:val="center"/>
              <w:rPr>
                <w:rFonts w:ascii="宋体" w:hAnsi="宋体" w:cs="宋体"/>
                <w:kern w:val="0"/>
                <w:sz w:val="20"/>
                <w:szCs w:val="20"/>
              </w:rPr>
            </w:pPr>
            <w:r>
              <w:rPr>
                <w:rFonts w:hint="eastAsia" w:ascii="宋体" w:hAnsi="宋体" w:cs="宋体"/>
                <w:kern w:val="0"/>
                <w:sz w:val="20"/>
                <w:szCs w:val="20"/>
              </w:rPr>
              <w:t>套</w:t>
            </w:r>
          </w:p>
        </w:tc>
        <w:tc>
          <w:tcPr>
            <w:tcW w:w="473" w:type="pct"/>
            <w:tcBorders>
              <w:top w:val="nil"/>
              <w:left w:val="nil"/>
              <w:bottom w:val="single" w:color="auto" w:sz="4" w:space="0"/>
              <w:right w:val="single" w:color="auto" w:sz="4" w:space="0"/>
            </w:tcBorders>
            <w:shd w:val="clear" w:color="auto" w:fill="auto"/>
            <w:vAlign w:val="center"/>
          </w:tcPr>
          <w:p w14:paraId="4C7D3143">
            <w:pPr>
              <w:widowControl/>
              <w:spacing w:line="240" w:lineRule="auto"/>
              <w:jc w:val="center"/>
              <w:rPr>
                <w:rFonts w:ascii="宋体" w:hAnsi="宋体" w:cs="宋体"/>
                <w:color w:val="000000"/>
                <w:kern w:val="0"/>
                <w:sz w:val="20"/>
                <w:szCs w:val="20"/>
              </w:rPr>
            </w:pPr>
          </w:p>
        </w:tc>
      </w:tr>
      <w:tr w14:paraId="0A469333">
        <w:tblPrEx>
          <w:tblCellMar>
            <w:top w:w="0" w:type="dxa"/>
            <w:left w:w="108" w:type="dxa"/>
            <w:bottom w:w="0" w:type="dxa"/>
            <w:right w:w="108" w:type="dxa"/>
          </w:tblCellMar>
        </w:tblPrEx>
        <w:trPr>
          <w:trHeight w:val="3640" w:hRule="atLeast"/>
        </w:trPr>
        <w:tc>
          <w:tcPr>
            <w:tcW w:w="460" w:type="pct"/>
            <w:tcBorders>
              <w:top w:val="nil"/>
              <w:left w:val="single" w:color="auto" w:sz="4" w:space="0"/>
              <w:bottom w:val="single" w:color="auto" w:sz="4" w:space="0"/>
              <w:right w:val="single" w:color="auto" w:sz="4" w:space="0"/>
            </w:tcBorders>
            <w:shd w:val="clear" w:color="auto" w:fill="auto"/>
            <w:vAlign w:val="center"/>
          </w:tcPr>
          <w:p w14:paraId="07F32776">
            <w:pPr>
              <w:widowControl/>
              <w:spacing w:line="240" w:lineRule="auto"/>
              <w:jc w:val="center"/>
              <w:rPr>
                <w:rFonts w:ascii="宋体" w:hAnsi="宋体" w:cs="宋体"/>
                <w:kern w:val="0"/>
                <w:sz w:val="20"/>
                <w:szCs w:val="20"/>
              </w:rPr>
            </w:pPr>
            <w:r>
              <w:rPr>
                <w:rFonts w:hint="eastAsia" w:ascii="宋体" w:hAnsi="宋体" w:cs="宋体"/>
                <w:kern w:val="0"/>
                <w:sz w:val="20"/>
                <w:szCs w:val="20"/>
              </w:rPr>
              <w:t>2</w:t>
            </w:r>
          </w:p>
        </w:tc>
        <w:tc>
          <w:tcPr>
            <w:tcW w:w="617" w:type="pct"/>
            <w:tcBorders>
              <w:top w:val="nil"/>
              <w:left w:val="single" w:color="auto" w:sz="4" w:space="0"/>
              <w:bottom w:val="single" w:color="000000" w:sz="4" w:space="0"/>
              <w:right w:val="single" w:color="auto" w:sz="4" w:space="0"/>
            </w:tcBorders>
            <w:shd w:val="clear" w:color="auto" w:fill="auto"/>
            <w:vAlign w:val="center"/>
          </w:tcPr>
          <w:p w14:paraId="5062667C">
            <w:pPr>
              <w:widowControl/>
              <w:spacing w:line="240" w:lineRule="auto"/>
              <w:jc w:val="left"/>
              <w:rPr>
                <w:rFonts w:ascii="宋体" w:hAnsi="宋体" w:cs="宋体"/>
                <w:kern w:val="0"/>
                <w:sz w:val="20"/>
                <w:szCs w:val="20"/>
              </w:rPr>
            </w:pPr>
            <w:r>
              <w:rPr>
                <w:rFonts w:hint="eastAsia" w:ascii="宋体" w:hAnsi="宋体" w:cs="宋体"/>
                <w:kern w:val="0"/>
                <w:sz w:val="20"/>
                <w:szCs w:val="20"/>
              </w:rPr>
              <w:t>5G网络终端</w:t>
            </w:r>
          </w:p>
          <w:p w14:paraId="6B8B492E">
            <w:pPr>
              <w:widowControl/>
              <w:spacing w:line="240" w:lineRule="auto"/>
              <w:jc w:val="left"/>
              <w:rPr>
                <w:rFonts w:ascii="宋体" w:hAnsi="宋体" w:cs="宋体"/>
                <w:kern w:val="0"/>
                <w:sz w:val="20"/>
                <w:szCs w:val="20"/>
              </w:rPr>
            </w:pPr>
          </w:p>
        </w:tc>
        <w:tc>
          <w:tcPr>
            <w:tcW w:w="2623" w:type="pct"/>
            <w:tcBorders>
              <w:top w:val="nil"/>
              <w:left w:val="nil"/>
              <w:bottom w:val="single" w:color="auto" w:sz="4" w:space="0"/>
              <w:right w:val="single" w:color="auto" w:sz="4" w:space="0"/>
            </w:tcBorders>
            <w:shd w:val="clear" w:color="auto" w:fill="auto"/>
            <w:vAlign w:val="center"/>
          </w:tcPr>
          <w:p w14:paraId="6B6A8F90">
            <w:pPr>
              <w:widowControl/>
              <w:spacing w:line="240" w:lineRule="auto"/>
              <w:jc w:val="left"/>
              <w:rPr>
                <w:rFonts w:ascii="宋体" w:hAnsi="宋体" w:cs="宋体"/>
                <w:kern w:val="0"/>
                <w:sz w:val="20"/>
                <w:szCs w:val="20"/>
              </w:rPr>
            </w:pPr>
            <w:r>
              <w:rPr>
                <w:rFonts w:hint="eastAsia" w:ascii="宋体" w:hAnsi="宋体" w:cs="宋体"/>
                <w:kern w:val="0"/>
                <w:sz w:val="20"/>
                <w:szCs w:val="20"/>
              </w:rPr>
              <w:t>5G网络终端</w:t>
            </w:r>
          </w:p>
          <w:p w14:paraId="6388A8F3">
            <w:pPr>
              <w:widowControl/>
              <w:spacing w:line="240" w:lineRule="auto"/>
              <w:jc w:val="left"/>
              <w:rPr>
                <w:rFonts w:ascii="宋体" w:hAnsi="宋体" w:cs="宋体"/>
                <w:kern w:val="0"/>
                <w:sz w:val="20"/>
                <w:szCs w:val="20"/>
              </w:rPr>
            </w:pPr>
            <w:r>
              <w:rPr>
                <w:rFonts w:hint="eastAsia" w:ascii="宋体" w:hAnsi="宋体" w:cs="宋体"/>
                <w:kern w:val="0"/>
                <w:sz w:val="20"/>
                <w:szCs w:val="20"/>
              </w:rPr>
              <w:t>VN009 蜂窝网络</w:t>
            </w:r>
          </w:p>
          <w:p w14:paraId="7C68923C">
            <w:pPr>
              <w:widowControl/>
              <w:spacing w:line="240" w:lineRule="auto"/>
              <w:jc w:val="left"/>
              <w:rPr>
                <w:rFonts w:ascii="宋体" w:hAnsi="宋体" w:cs="宋体"/>
                <w:kern w:val="0"/>
                <w:sz w:val="20"/>
                <w:szCs w:val="20"/>
              </w:rPr>
            </w:pPr>
            <w:r>
              <w:rPr>
                <w:rFonts w:hint="eastAsia" w:ascii="宋体" w:hAnsi="宋体" w:cs="宋体"/>
                <w:kern w:val="0"/>
                <w:sz w:val="20"/>
                <w:szCs w:val="20"/>
              </w:rPr>
              <w:t>支持 5G FDD/TDD，4G FDD-LTE5GNR:N1/N41/N784G LTE:B1/B3/B41/B5/B8</w:t>
            </w:r>
          </w:p>
          <w:p w14:paraId="43FA1E4E">
            <w:pPr>
              <w:widowControl/>
              <w:spacing w:line="240" w:lineRule="auto"/>
              <w:jc w:val="left"/>
              <w:rPr>
                <w:rFonts w:ascii="宋体" w:hAnsi="宋体" w:cs="宋体"/>
                <w:kern w:val="0"/>
                <w:sz w:val="20"/>
                <w:szCs w:val="20"/>
              </w:rPr>
            </w:pPr>
            <w:r>
              <w:rPr>
                <w:rFonts w:hint="eastAsia" w:ascii="宋体" w:hAnsi="宋体" w:cs="宋体"/>
                <w:kern w:val="0"/>
                <w:sz w:val="20"/>
                <w:szCs w:val="20"/>
              </w:rPr>
              <w:t>Wi-Fi网络</w:t>
            </w:r>
          </w:p>
          <w:p w14:paraId="3C2651F2">
            <w:pPr>
              <w:widowControl/>
              <w:spacing w:line="240" w:lineRule="auto"/>
              <w:jc w:val="left"/>
              <w:rPr>
                <w:rFonts w:ascii="宋体" w:hAnsi="宋体" w:cs="宋体"/>
                <w:kern w:val="0"/>
                <w:sz w:val="20"/>
                <w:szCs w:val="20"/>
              </w:rPr>
            </w:pPr>
            <w:r>
              <w:rPr>
                <w:rFonts w:hint="eastAsia" w:ascii="宋体" w:hAnsi="宋体" w:cs="宋体"/>
                <w:kern w:val="0"/>
                <w:sz w:val="20"/>
                <w:szCs w:val="20"/>
              </w:rPr>
              <w:t>支持IEEE80211a/b/g/n/ac/axWi-Fi标准</w:t>
            </w:r>
          </w:p>
          <w:p w14:paraId="128B8D78">
            <w:pPr>
              <w:widowControl/>
              <w:spacing w:line="240" w:lineRule="auto"/>
              <w:jc w:val="left"/>
              <w:rPr>
                <w:rFonts w:ascii="宋体" w:hAnsi="宋体" w:cs="宋体"/>
                <w:kern w:val="0"/>
                <w:sz w:val="20"/>
                <w:szCs w:val="20"/>
              </w:rPr>
            </w:pPr>
            <w:r>
              <w:rPr>
                <w:rFonts w:hint="eastAsia" w:ascii="宋体" w:hAnsi="宋体" w:cs="宋体"/>
                <w:kern w:val="0"/>
                <w:sz w:val="20"/>
                <w:szCs w:val="20"/>
              </w:rPr>
              <w:t>吞吐速率</w:t>
            </w:r>
          </w:p>
          <w:p w14:paraId="67092902">
            <w:pPr>
              <w:widowControl/>
              <w:spacing w:line="240" w:lineRule="auto"/>
              <w:jc w:val="left"/>
              <w:rPr>
                <w:rFonts w:ascii="宋体" w:hAnsi="宋体" w:cs="宋体"/>
                <w:kern w:val="0"/>
                <w:sz w:val="20"/>
                <w:szCs w:val="20"/>
              </w:rPr>
            </w:pPr>
            <w:r>
              <w:rPr>
                <w:rFonts w:hint="eastAsia" w:ascii="宋体" w:hAnsi="宋体" w:cs="宋体"/>
                <w:kern w:val="0"/>
                <w:sz w:val="20"/>
                <w:szCs w:val="20"/>
              </w:rPr>
              <w:t>5GNR:DL2GbpsUL1Gbps(理论值，实际速率以运营商配置为准)</w:t>
            </w:r>
          </w:p>
          <w:p w14:paraId="770C7E42">
            <w:pPr>
              <w:widowControl/>
              <w:spacing w:line="240" w:lineRule="auto"/>
              <w:jc w:val="left"/>
              <w:rPr>
                <w:rFonts w:ascii="宋体" w:hAnsi="宋体" w:cs="宋体"/>
                <w:kern w:val="0"/>
                <w:sz w:val="20"/>
                <w:szCs w:val="20"/>
              </w:rPr>
            </w:pPr>
            <w:r>
              <w:rPr>
                <w:rFonts w:hint="eastAsia" w:ascii="宋体" w:hAnsi="宋体" w:cs="宋体"/>
                <w:kern w:val="0"/>
                <w:sz w:val="20"/>
                <w:szCs w:val="20"/>
              </w:rPr>
              <w:t>NFC功能支持一碰连接Wi-Fi·（仅支持具备NFC功能的Android 手机)</w:t>
            </w:r>
          </w:p>
          <w:p w14:paraId="6FC0B328">
            <w:pPr>
              <w:widowControl/>
              <w:spacing w:line="240" w:lineRule="auto"/>
              <w:jc w:val="left"/>
              <w:rPr>
                <w:rFonts w:ascii="宋体" w:hAnsi="宋体" w:cs="宋体"/>
                <w:kern w:val="0"/>
                <w:sz w:val="20"/>
                <w:szCs w:val="20"/>
              </w:rPr>
            </w:pPr>
            <w:r>
              <w:rPr>
                <w:rFonts w:hint="eastAsia" w:ascii="宋体" w:hAnsi="宋体" w:cs="宋体"/>
                <w:kern w:val="0"/>
                <w:sz w:val="20"/>
                <w:szCs w:val="20"/>
              </w:rPr>
              <w:t>输出电源DC12V/1.5A</w:t>
            </w:r>
          </w:p>
          <w:p w14:paraId="1AAB6106">
            <w:pPr>
              <w:widowControl/>
              <w:spacing w:line="240" w:lineRule="auto"/>
              <w:jc w:val="left"/>
              <w:rPr>
                <w:rFonts w:ascii="宋体" w:hAnsi="宋体" w:cs="宋体"/>
                <w:kern w:val="0"/>
                <w:sz w:val="20"/>
                <w:szCs w:val="20"/>
              </w:rPr>
            </w:pPr>
            <w:r>
              <w:rPr>
                <w:rFonts w:hint="eastAsia" w:ascii="宋体" w:hAnsi="宋体" w:cs="宋体"/>
                <w:kern w:val="0"/>
                <w:sz w:val="20"/>
                <w:szCs w:val="20"/>
              </w:rPr>
              <w:t>相对湿度5%~95%</w:t>
            </w:r>
          </w:p>
          <w:p w14:paraId="6EC47238">
            <w:pPr>
              <w:widowControl/>
              <w:spacing w:line="240" w:lineRule="auto"/>
              <w:jc w:val="left"/>
              <w:rPr>
                <w:rFonts w:ascii="宋体" w:hAnsi="宋体" w:cs="宋体"/>
                <w:kern w:val="0"/>
                <w:sz w:val="20"/>
                <w:szCs w:val="20"/>
              </w:rPr>
            </w:pPr>
            <w:r>
              <w:rPr>
                <w:rFonts w:hint="eastAsia" w:ascii="宋体" w:hAnsi="宋体" w:cs="宋体"/>
                <w:kern w:val="0"/>
                <w:sz w:val="20"/>
                <w:szCs w:val="20"/>
              </w:rPr>
              <w:t>有线网口支持1000MpbsRJ45网口</w:t>
            </w:r>
          </w:p>
          <w:p w14:paraId="64ED8376">
            <w:pPr>
              <w:widowControl/>
              <w:spacing w:line="240" w:lineRule="auto"/>
              <w:jc w:val="left"/>
              <w:rPr>
                <w:rFonts w:ascii="宋体" w:hAnsi="宋体" w:cs="宋体"/>
                <w:kern w:val="0"/>
                <w:sz w:val="20"/>
                <w:szCs w:val="20"/>
              </w:rPr>
            </w:pPr>
            <w:r>
              <w:rPr>
                <w:rFonts w:hint="eastAsia" w:ascii="宋体" w:hAnsi="宋体" w:cs="宋体"/>
                <w:kern w:val="0"/>
                <w:sz w:val="20"/>
                <w:szCs w:val="20"/>
              </w:rPr>
              <w:t>输入电源AC 100V~240V 50HZ~60Hz</w:t>
            </w:r>
          </w:p>
        </w:tc>
        <w:tc>
          <w:tcPr>
            <w:tcW w:w="415" w:type="pct"/>
            <w:tcBorders>
              <w:top w:val="nil"/>
              <w:left w:val="nil"/>
              <w:bottom w:val="single" w:color="auto" w:sz="4" w:space="0"/>
              <w:right w:val="single" w:color="auto" w:sz="4" w:space="0"/>
            </w:tcBorders>
            <w:shd w:val="clear" w:color="auto" w:fill="auto"/>
            <w:noWrap/>
            <w:vAlign w:val="center"/>
          </w:tcPr>
          <w:p w14:paraId="719FEEBC">
            <w:pPr>
              <w:widowControl/>
              <w:spacing w:line="240" w:lineRule="auto"/>
              <w:jc w:val="center"/>
              <w:rPr>
                <w:rFonts w:ascii="宋体" w:hAnsi="宋体" w:cs="宋体"/>
                <w:kern w:val="0"/>
                <w:sz w:val="20"/>
                <w:szCs w:val="20"/>
              </w:rPr>
            </w:pPr>
            <w:r>
              <w:rPr>
                <w:rFonts w:hint="eastAsia" w:ascii="宋体" w:hAnsi="宋体" w:cs="宋体"/>
                <w:kern w:val="0"/>
                <w:sz w:val="20"/>
                <w:szCs w:val="20"/>
              </w:rPr>
              <w:t>8</w:t>
            </w:r>
          </w:p>
        </w:tc>
        <w:tc>
          <w:tcPr>
            <w:tcW w:w="409" w:type="pct"/>
            <w:tcBorders>
              <w:top w:val="nil"/>
              <w:left w:val="nil"/>
              <w:bottom w:val="single" w:color="auto" w:sz="4" w:space="0"/>
              <w:right w:val="single" w:color="auto" w:sz="4" w:space="0"/>
            </w:tcBorders>
            <w:shd w:val="clear" w:color="auto" w:fill="auto"/>
            <w:noWrap/>
            <w:vAlign w:val="center"/>
          </w:tcPr>
          <w:p w14:paraId="3D24BE17">
            <w:pPr>
              <w:widowControl/>
              <w:spacing w:line="240" w:lineRule="auto"/>
              <w:jc w:val="center"/>
              <w:rPr>
                <w:rFonts w:ascii="宋体" w:hAnsi="宋体" w:cs="宋体"/>
                <w:kern w:val="0"/>
                <w:sz w:val="20"/>
                <w:szCs w:val="20"/>
              </w:rPr>
            </w:pPr>
            <w:r>
              <w:rPr>
                <w:rFonts w:hint="eastAsia" w:ascii="宋体" w:hAnsi="宋体" w:cs="宋体"/>
                <w:kern w:val="0"/>
                <w:sz w:val="20"/>
                <w:szCs w:val="20"/>
              </w:rPr>
              <w:t>台</w:t>
            </w:r>
          </w:p>
        </w:tc>
        <w:tc>
          <w:tcPr>
            <w:tcW w:w="473" w:type="pct"/>
            <w:tcBorders>
              <w:top w:val="nil"/>
              <w:left w:val="nil"/>
              <w:bottom w:val="single" w:color="auto" w:sz="4" w:space="0"/>
              <w:right w:val="single" w:color="auto" w:sz="4" w:space="0"/>
            </w:tcBorders>
            <w:shd w:val="clear" w:color="auto" w:fill="auto"/>
            <w:vAlign w:val="center"/>
          </w:tcPr>
          <w:p w14:paraId="727A41A4">
            <w:pPr>
              <w:widowControl/>
              <w:spacing w:line="240" w:lineRule="auto"/>
              <w:jc w:val="center"/>
              <w:rPr>
                <w:rFonts w:ascii="宋体" w:hAnsi="宋体" w:cs="宋体"/>
                <w:color w:val="000000"/>
                <w:kern w:val="0"/>
                <w:sz w:val="20"/>
                <w:szCs w:val="20"/>
              </w:rPr>
            </w:pPr>
          </w:p>
        </w:tc>
      </w:tr>
      <w:tr w14:paraId="6B038EB1">
        <w:tblPrEx>
          <w:tblCellMar>
            <w:top w:w="0" w:type="dxa"/>
            <w:left w:w="108" w:type="dxa"/>
            <w:bottom w:w="0" w:type="dxa"/>
            <w:right w:w="108" w:type="dxa"/>
          </w:tblCellMar>
        </w:tblPrEx>
        <w:trPr>
          <w:trHeight w:val="780" w:hRule="atLeast"/>
        </w:trPr>
        <w:tc>
          <w:tcPr>
            <w:tcW w:w="460" w:type="pct"/>
            <w:tcBorders>
              <w:top w:val="nil"/>
              <w:left w:val="single" w:color="auto" w:sz="4" w:space="0"/>
              <w:bottom w:val="single" w:color="auto" w:sz="4" w:space="0"/>
              <w:right w:val="single" w:color="auto" w:sz="4" w:space="0"/>
            </w:tcBorders>
            <w:shd w:val="clear" w:color="auto" w:fill="auto"/>
            <w:noWrap/>
            <w:vAlign w:val="center"/>
          </w:tcPr>
          <w:p w14:paraId="39B79139">
            <w:pPr>
              <w:widowControl/>
              <w:spacing w:line="240" w:lineRule="auto"/>
              <w:jc w:val="center"/>
              <w:rPr>
                <w:rFonts w:ascii="宋体" w:hAnsi="宋体" w:cs="宋体"/>
                <w:kern w:val="0"/>
                <w:sz w:val="20"/>
                <w:szCs w:val="20"/>
              </w:rPr>
            </w:pPr>
            <w:r>
              <w:rPr>
                <w:rFonts w:hint="eastAsia" w:ascii="宋体" w:hAnsi="宋体" w:cs="宋体"/>
                <w:kern w:val="0"/>
                <w:sz w:val="20"/>
                <w:szCs w:val="20"/>
              </w:rPr>
              <w:t>3</w:t>
            </w:r>
          </w:p>
        </w:tc>
        <w:tc>
          <w:tcPr>
            <w:tcW w:w="617" w:type="pct"/>
            <w:tcBorders>
              <w:top w:val="nil"/>
              <w:left w:val="single" w:color="auto" w:sz="4" w:space="0"/>
              <w:bottom w:val="single" w:color="000000" w:sz="4" w:space="0"/>
              <w:right w:val="single" w:color="auto" w:sz="4" w:space="0"/>
            </w:tcBorders>
            <w:vAlign w:val="center"/>
          </w:tcPr>
          <w:p w14:paraId="5898B98C">
            <w:pPr>
              <w:widowControl/>
              <w:spacing w:line="240" w:lineRule="auto"/>
              <w:jc w:val="left"/>
              <w:rPr>
                <w:rFonts w:ascii="宋体" w:hAnsi="宋体" w:cs="宋体"/>
                <w:kern w:val="0"/>
                <w:sz w:val="20"/>
                <w:szCs w:val="20"/>
              </w:rPr>
            </w:pPr>
            <w:r>
              <w:rPr>
                <w:rFonts w:hint="eastAsia" w:ascii="宋体" w:hAnsi="宋体" w:cs="宋体"/>
                <w:kern w:val="0"/>
                <w:sz w:val="20"/>
                <w:szCs w:val="20"/>
              </w:rPr>
              <w:t>云台摄像机</w:t>
            </w:r>
          </w:p>
        </w:tc>
        <w:tc>
          <w:tcPr>
            <w:tcW w:w="2623" w:type="pct"/>
            <w:tcBorders>
              <w:top w:val="nil"/>
              <w:left w:val="nil"/>
              <w:bottom w:val="single" w:color="auto" w:sz="4" w:space="0"/>
              <w:right w:val="single" w:color="auto" w:sz="4" w:space="0"/>
            </w:tcBorders>
            <w:shd w:val="clear" w:color="auto" w:fill="auto"/>
            <w:vAlign w:val="center"/>
          </w:tcPr>
          <w:p w14:paraId="2FDA5C35">
            <w:pPr>
              <w:widowControl/>
              <w:spacing w:line="240" w:lineRule="auto"/>
              <w:jc w:val="left"/>
              <w:rPr>
                <w:rFonts w:ascii="宋体" w:hAnsi="宋体" w:cs="宋体"/>
                <w:kern w:val="0"/>
                <w:sz w:val="20"/>
                <w:szCs w:val="20"/>
              </w:rPr>
            </w:pPr>
            <w:r>
              <w:rPr>
                <w:rFonts w:hint="eastAsia" w:ascii="宋体" w:hAnsi="宋体" w:cs="宋体"/>
                <w:color w:val="FF0000"/>
                <w:kern w:val="0"/>
                <w:sz w:val="20"/>
                <w:szCs w:val="20"/>
                <w:highlight w:val="yellow"/>
              </w:rPr>
              <w:t>分辨率：2560×1440照度，4倍光学变倍，16倍数字变倍，云台功能水平范围：0°-355°垂直范围：0°-90°水平速度</w:t>
            </w:r>
          </w:p>
        </w:tc>
        <w:tc>
          <w:tcPr>
            <w:tcW w:w="415" w:type="pct"/>
            <w:tcBorders>
              <w:top w:val="nil"/>
              <w:left w:val="nil"/>
              <w:bottom w:val="single" w:color="auto" w:sz="4" w:space="0"/>
              <w:right w:val="single" w:color="auto" w:sz="4" w:space="0"/>
            </w:tcBorders>
            <w:shd w:val="clear" w:color="auto" w:fill="auto"/>
            <w:noWrap/>
            <w:vAlign w:val="center"/>
          </w:tcPr>
          <w:p w14:paraId="13D19166">
            <w:pPr>
              <w:widowControl/>
              <w:spacing w:line="240" w:lineRule="auto"/>
              <w:jc w:val="center"/>
              <w:rPr>
                <w:rFonts w:ascii="宋体" w:hAnsi="宋体" w:cs="宋体"/>
                <w:kern w:val="0"/>
                <w:sz w:val="20"/>
                <w:szCs w:val="20"/>
              </w:rPr>
            </w:pPr>
            <w:r>
              <w:rPr>
                <w:rFonts w:hint="eastAsia" w:ascii="宋体" w:hAnsi="宋体" w:cs="宋体"/>
                <w:kern w:val="0"/>
                <w:sz w:val="20"/>
                <w:szCs w:val="20"/>
              </w:rPr>
              <w:t>8</w:t>
            </w:r>
          </w:p>
        </w:tc>
        <w:tc>
          <w:tcPr>
            <w:tcW w:w="409" w:type="pct"/>
            <w:tcBorders>
              <w:top w:val="nil"/>
              <w:left w:val="nil"/>
              <w:bottom w:val="single" w:color="auto" w:sz="4" w:space="0"/>
              <w:right w:val="single" w:color="auto" w:sz="4" w:space="0"/>
            </w:tcBorders>
            <w:shd w:val="clear" w:color="auto" w:fill="auto"/>
            <w:noWrap/>
            <w:vAlign w:val="center"/>
          </w:tcPr>
          <w:p w14:paraId="1B512E5C">
            <w:pPr>
              <w:widowControl/>
              <w:spacing w:line="240" w:lineRule="auto"/>
              <w:jc w:val="center"/>
              <w:rPr>
                <w:rFonts w:ascii="宋体" w:hAnsi="宋体" w:cs="宋体"/>
                <w:kern w:val="0"/>
                <w:sz w:val="20"/>
                <w:szCs w:val="20"/>
              </w:rPr>
            </w:pPr>
            <w:r>
              <w:rPr>
                <w:rFonts w:hint="eastAsia" w:ascii="宋体" w:hAnsi="宋体" w:cs="宋体"/>
                <w:kern w:val="0"/>
                <w:sz w:val="20"/>
                <w:szCs w:val="20"/>
              </w:rPr>
              <w:t>台</w:t>
            </w:r>
          </w:p>
        </w:tc>
        <w:tc>
          <w:tcPr>
            <w:tcW w:w="473" w:type="pct"/>
            <w:tcBorders>
              <w:top w:val="nil"/>
              <w:left w:val="nil"/>
              <w:bottom w:val="single" w:color="auto" w:sz="4" w:space="0"/>
              <w:right w:val="single" w:color="auto" w:sz="4" w:space="0"/>
            </w:tcBorders>
            <w:shd w:val="clear" w:color="auto" w:fill="auto"/>
            <w:vAlign w:val="center"/>
          </w:tcPr>
          <w:p w14:paraId="0F38C5E3">
            <w:pPr>
              <w:widowControl/>
              <w:spacing w:line="240" w:lineRule="auto"/>
              <w:jc w:val="center"/>
              <w:rPr>
                <w:rFonts w:ascii="宋体" w:hAnsi="宋体" w:cs="宋体"/>
                <w:color w:val="000000"/>
                <w:kern w:val="0"/>
                <w:sz w:val="20"/>
                <w:szCs w:val="20"/>
              </w:rPr>
            </w:pPr>
          </w:p>
        </w:tc>
      </w:tr>
      <w:tr w14:paraId="4D005425">
        <w:tblPrEx>
          <w:tblCellMar>
            <w:top w:w="0" w:type="dxa"/>
            <w:left w:w="108" w:type="dxa"/>
            <w:bottom w:w="0" w:type="dxa"/>
            <w:right w:w="108" w:type="dxa"/>
          </w:tblCellMar>
        </w:tblPrEx>
        <w:trPr>
          <w:trHeight w:val="465" w:hRule="atLeast"/>
        </w:trPr>
        <w:tc>
          <w:tcPr>
            <w:tcW w:w="460" w:type="pct"/>
            <w:tcBorders>
              <w:top w:val="nil"/>
              <w:left w:val="single" w:color="auto" w:sz="4" w:space="0"/>
              <w:bottom w:val="single" w:color="auto" w:sz="4" w:space="0"/>
              <w:right w:val="single" w:color="auto" w:sz="4" w:space="0"/>
            </w:tcBorders>
            <w:shd w:val="clear" w:color="auto" w:fill="auto"/>
            <w:noWrap/>
            <w:vAlign w:val="center"/>
          </w:tcPr>
          <w:p w14:paraId="26BD6F94">
            <w:pPr>
              <w:widowControl/>
              <w:spacing w:line="240" w:lineRule="auto"/>
              <w:jc w:val="center"/>
              <w:rPr>
                <w:rFonts w:ascii="宋体" w:hAnsi="宋体" w:cs="宋体"/>
                <w:kern w:val="0"/>
                <w:sz w:val="20"/>
                <w:szCs w:val="20"/>
              </w:rPr>
            </w:pPr>
            <w:r>
              <w:rPr>
                <w:rFonts w:hint="eastAsia" w:ascii="宋体" w:hAnsi="宋体" w:cs="宋体"/>
                <w:kern w:val="0"/>
                <w:sz w:val="20"/>
                <w:szCs w:val="20"/>
              </w:rPr>
              <w:t>4</w:t>
            </w:r>
          </w:p>
        </w:tc>
        <w:tc>
          <w:tcPr>
            <w:tcW w:w="617" w:type="pct"/>
            <w:tcBorders>
              <w:top w:val="nil"/>
              <w:left w:val="single" w:color="auto" w:sz="4" w:space="0"/>
              <w:bottom w:val="single" w:color="000000" w:sz="4" w:space="0"/>
              <w:right w:val="single" w:color="auto" w:sz="4" w:space="0"/>
            </w:tcBorders>
            <w:vAlign w:val="center"/>
          </w:tcPr>
          <w:p w14:paraId="1235C374">
            <w:pPr>
              <w:widowControl/>
              <w:spacing w:line="240" w:lineRule="auto"/>
              <w:jc w:val="left"/>
              <w:rPr>
                <w:rFonts w:ascii="宋体" w:hAnsi="宋体" w:cs="宋体"/>
                <w:kern w:val="0"/>
                <w:sz w:val="20"/>
                <w:szCs w:val="20"/>
              </w:rPr>
            </w:pPr>
            <w:r>
              <w:rPr>
                <w:rFonts w:hint="eastAsia" w:ascii="宋体" w:hAnsi="宋体" w:cs="宋体"/>
                <w:kern w:val="0"/>
                <w:sz w:val="20"/>
                <w:szCs w:val="20"/>
              </w:rPr>
              <w:t>监控摄像头</w:t>
            </w:r>
          </w:p>
        </w:tc>
        <w:tc>
          <w:tcPr>
            <w:tcW w:w="2623" w:type="pct"/>
            <w:tcBorders>
              <w:top w:val="nil"/>
              <w:left w:val="nil"/>
              <w:bottom w:val="single" w:color="auto" w:sz="4" w:space="0"/>
              <w:right w:val="single" w:color="auto" w:sz="4" w:space="0"/>
            </w:tcBorders>
            <w:shd w:val="clear" w:color="auto" w:fill="auto"/>
            <w:vAlign w:val="center"/>
          </w:tcPr>
          <w:p w14:paraId="5E5476CF">
            <w:pPr>
              <w:widowControl/>
              <w:spacing w:line="240" w:lineRule="auto"/>
              <w:jc w:val="left"/>
              <w:rPr>
                <w:rFonts w:ascii="宋体" w:hAnsi="宋体" w:cs="宋体"/>
                <w:color w:val="FF0000"/>
                <w:kern w:val="0"/>
                <w:sz w:val="20"/>
                <w:szCs w:val="20"/>
                <w:highlight w:val="yellow"/>
              </w:rPr>
            </w:pPr>
            <w:r>
              <w:rPr>
                <w:rFonts w:hint="eastAsia" w:ascii="宋体" w:hAnsi="宋体" w:cs="宋体"/>
                <w:color w:val="FF0000"/>
                <w:kern w:val="0"/>
                <w:sz w:val="20"/>
                <w:szCs w:val="20"/>
                <w:highlight w:val="yellow"/>
              </w:rPr>
              <w:t>传感器类型：1/2.7" Progressive Scan CMOS</w:t>
            </w:r>
          </w:p>
          <w:p w14:paraId="423F35FB">
            <w:pPr>
              <w:widowControl/>
              <w:spacing w:line="240" w:lineRule="auto"/>
              <w:jc w:val="left"/>
              <w:rPr>
                <w:rFonts w:ascii="宋体" w:hAnsi="宋体" w:cs="宋体"/>
                <w:color w:val="FF0000"/>
                <w:kern w:val="0"/>
                <w:sz w:val="20"/>
                <w:szCs w:val="20"/>
                <w:highlight w:val="yellow"/>
              </w:rPr>
            </w:pPr>
            <w:r>
              <w:rPr>
                <w:rFonts w:hint="eastAsia" w:ascii="宋体" w:hAnsi="宋体" w:cs="宋体"/>
                <w:color w:val="FF0000"/>
                <w:kern w:val="0"/>
                <w:sz w:val="20"/>
                <w:szCs w:val="20"/>
                <w:highlight w:val="yellow"/>
              </w:rPr>
              <w:t>最大图像尺寸：1920 × 1080（高清）</w:t>
            </w:r>
          </w:p>
          <w:p w14:paraId="36CEAAA9">
            <w:pPr>
              <w:widowControl/>
              <w:spacing w:line="240" w:lineRule="auto"/>
              <w:jc w:val="left"/>
              <w:rPr>
                <w:rFonts w:ascii="宋体" w:hAnsi="宋体" w:cs="宋体"/>
                <w:color w:val="FF0000"/>
                <w:kern w:val="0"/>
                <w:sz w:val="20"/>
                <w:szCs w:val="20"/>
                <w:highlight w:val="yellow"/>
              </w:rPr>
            </w:pPr>
            <w:r>
              <w:rPr>
                <w:rFonts w:hint="eastAsia" w:ascii="宋体" w:hAnsi="宋体" w:cs="宋体"/>
                <w:color w:val="FF0000"/>
                <w:kern w:val="0"/>
                <w:sz w:val="20"/>
                <w:szCs w:val="20"/>
                <w:highlight w:val="yellow"/>
              </w:rPr>
              <w:t>视频帧率：主码流为25 fps，子码流可选25 fps或更低，具体取决于分辨率和压缩格式</w:t>
            </w:r>
          </w:p>
          <w:p w14:paraId="33EBA6F6">
            <w:pPr>
              <w:widowControl/>
              <w:spacing w:line="240" w:lineRule="auto"/>
              <w:jc w:val="left"/>
              <w:rPr>
                <w:rFonts w:ascii="宋体" w:hAnsi="宋体" w:cs="宋体"/>
                <w:kern w:val="0"/>
                <w:sz w:val="20"/>
                <w:szCs w:val="20"/>
              </w:rPr>
            </w:pPr>
            <w:r>
              <w:rPr>
                <w:rFonts w:hint="eastAsia" w:ascii="宋体" w:hAnsi="宋体" w:cs="宋体"/>
                <w:color w:val="FF0000"/>
                <w:kern w:val="0"/>
                <w:sz w:val="20"/>
                <w:szCs w:val="20"/>
                <w:highlight w:val="yellow"/>
              </w:rPr>
              <w:t>视频压缩标准：主码流支持H.265/H.264，子码流支持H.265/H.264/MJPEG</w:t>
            </w:r>
          </w:p>
        </w:tc>
        <w:tc>
          <w:tcPr>
            <w:tcW w:w="415" w:type="pct"/>
            <w:tcBorders>
              <w:top w:val="nil"/>
              <w:left w:val="nil"/>
              <w:bottom w:val="single" w:color="auto" w:sz="4" w:space="0"/>
              <w:right w:val="single" w:color="auto" w:sz="4" w:space="0"/>
            </w:tcBorders>
            <w:shd w:val="clear" w:color="auto" w:fill="auto"/>
            <w:noWrap/>
            <w:vAlign w:val="center"/>
          </w:tcPr>
          <w:p w14:paraId="62F99274">
            <w:pPr>
              <w:widowControl/>
              <w:spacing w:line="240" w:lineRule="auto"/>
              <w:jc w:val="center"/>
              <w:rPr>
                <w:rFonts w:ascii="宋体" w:hAnsi="宋体" w:cs="宋体"/>
                <w:kern w:val="0"/>
                <w:sz w:val="20"/>
                <w:szCs w:val="20"/>
              </w:rPr>
            </w:pPr>
            <w:r>
              <w:rPr>
                <w:rFonts w:hint="eastAsia" w:ascii="宋体" w:hAnsi="宋体" w:cs="宋体"/>
                <w:kern w:val="0"/>
                <w:sz w:val="20"/>
                <w:szCs w:val="20"/>
              </w:rPr>
              <w:t>8</w:t>
            </w:r>
          </w:p>
        </w:tc>
        <w:tc>
          <w:tcPr>
            <w:tcW w:w="409" w:type="pct"/>
            <w:tcBorders>
              <w:top w:val="nil"/>
              <w:left w:val="nil"/>
              <w:bottom w:val="single" w:color="auto" w:sz="4" w:space="0"/>
              <w:right w:val="single" w:color="auto" w:sz="4" w:space="0"/>
            </w:tcBorders>
            <w:shd w:val="clear" w:color="auto" w:fill="auto"/>
            <w:noWrap/>
            <w:vAlign w:val="center"/>
          </w:tcPr>
          <w:p w14:paraId="3730431B">
            <w:pPr>
              <w:widowControl/>
              <w:spacing w:line="240" w:lineRule="auto"/>
              <w:jc w:val="center"/>
              <w:rPr>
                <w:rFonts w:ascii="宋体" w:hAnsi="宋体" w:cs="宋体"/>
                <w:kern w:val="0"/>
                <w:sz w:val="20"/>
                <w:szCs w:val="20"/>
              </w:rPr>
            </w:pPr>
            <w:r>
              <w:rPr>
                <w:rFonts w:hint="eastAsia" w:ascii="宋体" w:hAnsi="宋体" w:cs="宋体"/>
                <w:kern w:val="0"/>
                <w:sz w:val="20"/>
                <w:szCs w:val="20"/>
              </w:rPr>
              <w:t>台</w:t>
            </w:r>
          </w:p>
        </w:tc>
        <w:tc>
          <w:tcPr>
            <w:tcW w:w="473" w:type="pct"/>
            <w:tcBorders>
              <w:top w:val="nil"/>
              <w:left w:val="nil"/>
              <w:bottom w:val="single" w:color="auto" w:sz="4" w:space="0"/>
              <w:right w:val="single" w:color="auto" w:sz="4" w:space="0"/>
            </w:tcBorders>
            <w:shd w:val="clear" w:color="auto" w:fill="auto"/>
            <w:vAlign w:val="center"/>
          </w:tcPr>
          <w:p w14:paraId="4D0E37D6">
            <w:pPr>
              <w:widowControl/>
              <w:spacing w:line="240" w:lineRule="auto"/>
              <w:jc w:val="center"/>
              <w:rPr>
                <w:rFonts w:ascii="宋体" w:hAnsi="宋体" w:cs="宋体"/>
                <w:color w:val="000000"/>
                <w:kern w:val="0"/>
                <w:sz w:val="20"/>
                <w:szCs w:val="20"/>
              </w:rPr>
            </w:pPr>
          </w:p>
        </w:tc>
      </w:tr>
      <w:tr w14:paraId="5E46D9D7">
        <w:tblPrEx>
          <w:tblCellMar>
            <w:top w:w="0" w:type="dxa"/>
            <w:left w:w="108" w:type="dxa"/>
            <w:bottom w:w="0" w:type="dxa"/>
            <w:right w:w="108" w:type="dxa"/>
          </w:tblCellMar>
        </w:tblPrEx>
        <w:trPr>
          <w:trHeight w:val="1300" w:hRule="atLeast"/>
        </w:trPr>
        <w:tc>
          <w:tcPr>
            <w:tcW w:w="460" w:type="pct"/>
            <w:tcBorders>
              <w:top w:val="nil"/>
              <w:left w:val="single" w:color="auto" w:sz="4" w:space="0"/>
              <w:bottom w:val="single" w:color="auto" w:sz="4" w:space="0"/>
              <w:right w:val="single" w:color="auto" w:sz="4" w:space="0"/>
            </w:tcBorders>
            <w:shd w:val="clear" w:color="auto" w:fill="auto"/>
            <w:noWrap/>
            <w:vAlign w:val="center"/>
          </w:tcPr>
          <w:p w14:paraId="4BEAA9F2">
            <w:pPr>
              <w:widowControl/>
              <w:spacing w:line="240" w:lineRule="auto"/>
              <w:jc w:val="center"/>
              <w:rPr>
                <w:rFonts w:ascii="宋体" w:hAnsi="宋体" w:cs="宋体"/>
                <w:kern w:val="0"/>
                <w:sz w:val="20"/>
                <w:szCs w:val="20"/>
              </w:rPr>
            </w:pPr>
            <w:r>
              <w:rPr>
                <w:rFonts w:hint="eastAsia" w:ascii="宋体" w:hAnsi="宋体" w:cs="宋体"/>
                <w:kern w:val="0"/>
                <w:sz w:val="20"/>
                <w:szCs w:val="20"/>
              </w:rPr>
              <w:t>5</w:t>
            </w:r>
          </w:p>
        </w:tc>
        <w:tc>
          <w:tcPr>
            <w:tcW w:w="617" w:type="pct"/>
            <w:tcBorders>
              <w:top w:val="nil"/>
              <w:left w:val="single" w:color="auto" w:sz="4" w:space="0"/>
              <w:bottom w:val="single" w:color="000000" w:sz="4" w:space="0"/>
              <w:right w:val="single" w:color="auto" w:sz="4" w:space="0"/>
            </w:tcBorders>
            <w:vAlign w:val="center"/>
          </w:tcPr>
          <w:p w14:paraId="48A3459F">
            <w:pPr>
              <w:widowControl/>
              <w:spacing w:line="240" w:lineRule="auto"/>
              <w:jc w:val="left"/>
              <w:rPr>
                <w:rFonts w:ascii="宋体" w:hAnsi="宋体" w:cs="宋体"/>
                <w:kern w:val="0"/>
                <w:sz w:val="20"/>
                <w:szCs w:val="20"/>
              </w:rPr>
            </w:pPr>
            <w:r>
              <w:rPr>
                <w:rFonts w:hint="eastAsia" w:ascii="宋体" w:hAnsi="宋体" w:cs="宋体"/>
                <w:kern w:val="0"/>
                <w:sz w:val="20"/>
                <w:szCs w:val="20"/>
              </w:rPr>
              <w:t>POE交换机</w:t>
            </w:r>
          </w:p>
        </w:tc>
        <w:tc>
          <w:tcPr>
            <w:tcW w:w="2623" w:type="pct"/>
            <w:tcBorders>
              <w:top w:val="nil"/>
              <w:left w:val="nil"/>
              <w:bottom w:val="single" w:color="auto" w:sz="4" w:space="0"/>
              <w:right w:val="single" w:color="auto" w:sz="4" w:space="0"/>
            </w:tcBorders>
            <w:shd w:val="clear" w:color="auto" w:fill="auto"/>
            <w:vAlign w:val="center"/>
          </w:tcPr>
          <w:p w14:paraId="1EB7619F">
            <w:pPr>
              <w:widowControl/>
              <w:spacing w:line="240" w:lineRule="auto"/>
              <w:jc w:val="left"/>
              <w:rPr>
                <w:rFonts w:ascii="宋体" w:hAnsi="宋体" w:cs="宋体"/>
                <w:color w:val="FF0000"/>
                <w:kern w:val="0"/>
                <w:sz w:val="20"/>
                <w:szCs w:val="20"/>
                <w:highlight w:val="yellow"/>
              </w:rPr>
            </w:pPr>
            <w:r>
              <w:rPr>
                <w:rFonts w:hint="eastAsia" w:ascii="宋体" w:hAnsi="宋体" w:cs="宋体"/>
                <w:kern w:val="0"/>
                <w:sz w:val="20"/>
                <w:szCs w:val="20"/>
              </w:rPr>
              <w:t xml:space="preserve"> </w:t>
            </w:r>
            <w:r>
              <w:rPr>
                <w:rFonts w:hint="eastAsia" w:ascii="宋体" w:hAnsi="宋体" w:cs="宋体"/>
                <w:color w:val="FF0000"/>
                <w:kern w:val="0"/>
                <w:sz w:val="20"/>
                <w:szCs w:val="20"/>
                <w:highlight w:val="yellow"/>
              </w:rPr>
              <w:t>PoE 端口 1～8，接口类型 RJ45 电口，全双工，MDI/MDI-X 自适应，端口最大供电功率 30 W，整机最大供电功率 115 W</w:t>
            </w:r>
          </w:p>
          <w:p w14:paraId="68F0C97F">
            <w:pPr>
              <w:widowControl/>
              <w:spacing w:line="240" w:lineRule="auto"/>
              <w:jc w:val="left"/>
              <w:rPr>
                <w:rFonts w:ascii="宋体" w:hAnsi="宋体" w:cs="宋体"/>
                <w:kern w:val="0"/>
                <w:sz w:val="20"/>
                <w:szCs w:val="20"/>
              </w:rPr>
            </w:pPr>
            <w:r>
              <w:rPr>
                <w:rFonts w:hint="eastAsia" w:ascii="宋体" w:hAnsi="宋体" w:cs="宋体"/>
                <w:color w:val="FF0000"/>
                <w:kern w:val="0"/>
                <w:sz w:val="20"/>
                <w:szCs w:val="20"/>
                <w:highlight w:val="yellow"/>
              </w:rPr>
              <w:t>尺寸(长×高×深) 170 mm×27.6 mm×93.1 mm，电源规格 48 VDC，2.5 A</w:t>
            </w:r>
          </w:p>
        </w:tc>
        <w:tc>
          <w:tcPr>
            <w:tcW w:w="415" w:type="pct"/>
            <w:tcBorders>
              <w:top w:val="nil"/>
              <w:left w:val="nil"/>
              <w:bottom w:val="single" w:color="auto" w:sz="4" w:space="0"/>
              <w:right w:val="single" w:color="auto" w:sz="4" w:space="0"/>
            </w:tcBorders>
            <w:shd w:val="clear" w:color="auto" w:fill="auto"/>
            <w:noWrap/>
            <w:vAlign w:val="center"/>
          </w:tcPr>
          <w:p w14:paraId="26D6A6F8">
            <w:pPr>
              <w:widowControl/>
              <w:spacing w:line="240" w:lineRule="auto"/>
              <w:jc w:val="center"/>
              <w:rPr>
                <w:rFonts w:ascii="宋体" w:hAnsi="宋体" w:cs="宋体"/>
                <w:kern w:val="0"/>
                <w:sz w:val="20"/>
                <w:szCs w:val="20"/>
              </w:rPr>
            </w:pPr>
            <w:r>
              <w:rPr>
                <w:rFonts w:hint="eastAsia" w:ascii="宋体" w:hAnsi="宋体" w:cs="宋体"/>
                <w:kern w:val="0"/>
                <w:sz w:val="20"/>
                <w:szCs w:val="20"/>
              </w:rPr>
              <w:t>8</w:t>
            </w:r>
          </w:p>
        </w:tc>
        <w:tc>
          <w:tcPr>
            <w:tcW w:w="409" w:type="pct"/>
            <w:tcBorders>
              <w:top w:val="nil"/>
              <w:left w:val="nil"/>
              <w:bottom w:val="single" w:color="auto" w:sz="4" w:space="0"/>
              <w:right w:val="single" w:color="auto" w:sz="4" w:space="0"/>
            </w:tcBorders>
            <w:shd w:val="clear" w:color="auto" w:fill="auto"/>
            <w:noWrap/>
            <w:vAlign w:val="center"/>
          </w:tcPr>
          <w:p w14:paraId="015BC38B">
            <w:pPr>
              <w:widowControl/>
              <w:spacing w:line="240" w:lineRule="auto"/>
              <w:jc w:val="center"/>
              <w:rPr>
                <w:rFonts w:ascii="宋体" w:hAnsi="宋体" w:cs="宋体"/>
                <w:kern w:val="0"/>
                <w:sz w:val="20"/>
                <w:szCs w:val="20"/>
              </w:rPr>
            </w:pPr>
            <w:r>
              <w:rPr>
                <w:rFonts w:hint="eastAsia" w:ascii="宋体" w:hAnsi="宋体" w:cs="宋体"/>
                <w:kern w:val="0"/>
                <w:sz w:val="20"/>
                <w:szCs w:val="20"/>
              </w:rPr>
              <w:t>台</w:t>
            </w:r>
          </w:p>
        </w:tc>
        <w:tc>
          <w:tcPr>
            <w:tcW w:w="473" w:type="pct"/>
            <w:tcBorders>
              <w:top w:val="nil"/>
              <w:left w:val="nil"/>
              <w:bottom w:val="single" w:color="auto" w:sz="4" w:space="0"/>
              <w:right w:val="single" w:color="auto" w:sz="4" w:space="0"/>
            </w:tcBorders>
            <w:shd w:val="clear" w:color="auto" w:fill="auto"/>
            <w:vAlign w:val="center"/>
          </w:tcPr>
          <w:p w14:paraId="62DCF403">
            <w:pPr>
              <w:widowControl/>
              <w:spacing w:line="240" w:lineRule="auto"/>
              <w:jc w:val="center"/>
              <w:rPr>
                <w:rFonts w:ascii="宋体" w:hAnsi="宋体" w:cs="宋体"/>
                <w:color w:val="000000"/>
                <w:kern w:val="0"/>
                <w:sz w:val="20"/>
                <w:szCs w:val="20"/>
              </w:rPr>
            </w:pPr>
          </w:p>
        </w:tc>
      </w:tr>
      <w:tr w14:paraId="1B815B73">
        <w:tblPrEx>
          <w:tblCellMar>
            <w:top w:w="0" w:type="dxa"/>
            <w:left w:w="108" w:type="dxa"/>
            <w:bottom w:w="0" w:type="dxa"/>
            <w:right w:w="108" w:type="dxa"/>
          </w:tblCellMar>
        </w:tblPrEx>
        <w:trPr>
          <w:trHeight w:val="780" w:hRule="atLeast"/>
        </w:trPr>
        <w:tc>
          <w:tcPr>
            <w:tcW w:w="460" w:type="pct"/>
            <w:tcBorders>
              <w:top w:val="nil"/>
              <w:left w:val="single" w:color="auto" w:sz="4" w:space="0"/>
              <w:bottom w:val="single" w:color="auto" w:sz="4" w:space="0"/>
              <w:right w:val="single" w:color="auto" w:sz="4" w:space="0"/>
            </w:tcBorders>
            <w:shd w:val="clear" w:color="auto" w:fill="auto"/>
            <w:vAlign w:val="center"/>
          </w:tcPr>
          <w:p w14:paraId="508F388B">
            <w:pPr>
              <w:widowControl/>
              <w:spacing w:line="240" w:lineRule="auto"/>
              <w:jc w:val="center"/>
              <w:rPr>
                <w:rFonts w:ascii="宋体" w:hAnsi="宋体" w:cs="宋体"/>
                <w:kern w:val="0"/>
                <w:sz w:val="20"/>
                <w:szCs w:val="20"/>
              </w:rPr>
            </w:pPr>
            <w:r>
              <w:rPr>
                <w:rFonts w:hint="eastAsia" w:ascii="宋体" w:hAnsi="宋体" w:cs="宋体"/>
                <w:kern w:val="0"/>
                <w:sz w:val="20"/>
                <w:szCs w:val="20"/>
              </w:rPr>
              <w:t>6</w:t>
            </w:r>
          </w:p>
        </w:tc>
        <w:tc>
          <w:tcPr>
            <w:tcW w:w="617" w:type="pct"/>
            <w:tcBorders>
              <w:top w:val="nil"/>
              <w:left w:val="single" w:color="auto" w:sz="4" w:space="0"/>
              <w:bottom w:val="single" w:color="000000" w:sz="4" w:space="0"/>
              <w:right w:val="single" w:color="auto" w:sz="4" w:space="0"/>
            </w:tcBorders>
            <w:vAlign w:val="center"/>
          </w:tcPr>
          <w:p w14:paraId="57032FB5">
            <w:pPr>
              <w:widowControl/>
              <w:spacing w:line="240" w:lineRule="auto"/>
              <w:jc w:val="left"/>
              <w:rPr>
                <w:rFonts w:ascii="宋体" w:hAnsi="宋体" w:cs="宋体"/>
                <w:kern w:val="0"/>
                <w:sz w:val="20"/>
                <w:szCs w:val="20"/>
              </w:rPr>
            </w:pPr>
            <w:r>
              <w:rPr>
                <w:rFonts w:hint="eastAsia" w:ascii="宋体" w:hAnsi="宋体" w:cs="宋体"/>
                <w:kern w:val="0"/>
                <w:sz w:val="20"/>
                <w:szCs w:val="20"/>
              </w:rPr>
              <w:t>辅材</w:t>
            </w:r>
          </w:p>
        </w:tc>
        <w:tc>
          <w:tcPr>
            <w:tcW w:w="2623" w:type="pct"/>
            <w:tcBorders>
              <w:top w:val="nil"/>
              <w:left w:val="nil"/>
              <w:bottom w:val="single" w:color="auto" w:sz="4" w:space="0"/>
              <w:right w:val="single" w:color="auto" w:sz="4" w:space="0"/>
            </w:tcBorders>
            <w:shd w:val="clear" w:color="auto" w:fill="auto"/>
            <w:vAlign w:val="center"/>
          </w:tcPr>
          <w:p w14:paraId="2BAFB90B">
            <w:pPr>
              <w:widowControl/>
              <w:spacing w:line="240" w:lineRule="auto"/>
              <w:jc w:val="left"/>
              <w:rPr>
                <w:rFonts w:ascii="宋体" w:hAnsi="宋体" w:cs="宋体"/>
                <w:kern w:val="0"/>
                <w:sz w:val="20"/>
                <w:szCs w:val="20"/>
              </w:rPr>
            </w:pPr>
            <w:r>
              <w:rPr>
                <w:rFonts w:hint="eastAsia" w:ascii="宋体" w:hAnsi="宋体" w:cs="宋体"/>
                <w:kern w:val="0"/>
                <w:sz w:val="20"/>
                <w:szCs w:val="20"/>
              </w:rPr>
              <w:t>根据实际改救护车需求提供相应附件：屏挂架、POE分离器、超五类网线、柔性线槽热缩管。小件耗材:纳米胶、螺丝、钻头、网络接头、扎带等辅材</w:t>
            </w:r>
          </w:p>
        </w:tc>
        <w:tc>
          <w:tcPr>
            <w:tcW w:w="415" w:type="pct"/>
            <w:tcBorders>
              <w:top w:val="nil"/>
              <w:left w:val="nil"/>
              <w:bottom w:val="single" w:color="auto" w:sz="4" w:space="0"/>
              <w:right w:val="single" w:color="auto" w:sz="4" w:space="0"/>
            </w:tcBorders>
            <w:shd w:val="clear" w:color="auto" w:fill="auto"/>
            <w:noWrap/>
            <w:vAlign w:val="center"/>
          </w:tcPr>
          <w:p w14:paraId="0498E349">
            <w:pPr>
              <w:widowControl/>
              <w:spacing w:line="240" w:lineRule="auto"/>
              <w:jc w:val="center"/>
              <w:rPr>
                <w:rFonts w:ascii="宋体" w:hAnsi="宋体" w:cs="宋体"/>
                <w:kern w:val="0"/>
                <w:sz w:val="20"/>
                <w:szCs w:val="20"/>
              </w:rPr>
            </w:pPr>
            <w:r>
              <w:rPr>
                <w:rFonts w:hint="eastAsia" w:ascii="宋体" w:hAnsi="宋体" w:cs="宋体"/>
                <w:kern w:val="0"/>
                <w:sz w:val="20"/>
                <w:szCs w:val="20"/>
              </w:rPr>
              <w:t>8</w:t>
            </w:r>
          </w:p>
        </w:tc>
        <w:tc>
          <w:tcPr>
            <w:tcW w:w="409" w:type="pct"/>
            <w:tcBorders>
              <w:top w:val="nil"/>
              <w:left w:val="nil"/>
              <w:bottom w:val="single" w:color="auto" w:sz="4" w:space="0"/>
              <w:right w:val="single" w:color="auto" w:sz="4" w:space="0"/>
            </w:tcBorders>
            <w:shd w:val="clear" w:color="auto" w:fill="auto"/>
            <w:noWrap/>
            <w:vAlign w:val="center"/>
          </w:tcPr>
          <w:p w14:paraId="13B04B64">
            <w:pPr>
              <w:widowControl/>
              <w:spacing w:line="240" w:lineRule="auto"/>
              <w:jc w:val="center"/>
              <w:rPr>
                <w:rFonts w:ascii="宋体" w:hAnsi="宋体" w:cs="宋体"/>
                <w:kern w:val="0"/>
                <w:sz w:val="20"/>
                <w:szCs w:val="20"/>
              </w:rPr>
            </w:pPr>
            <w:r>
              <w:rPr>
                <w:rFonts w:hint="eastAsia" w:ascii="宋体" w:hAnsi="宋体" w:cs="宋体"/>
                <w:kern w:val="0"/>
                <w:sz w:val="20"/>
                <w:szCs w:val="20"/>
              </w:rPr>
              <w:t>批</w:t>
            </w:r>
          </w:p>
        </w:tc>
        <w:tc>
          <w:tcPr>
            <w:tcW w:w="473" w:type="pct"/>
            <w:tcBorders>
              <w:top w:val="nil"/>
              <w:left w:val="nil"/>
              <w:bottom w:val="single" w:color="auto" w:sz="4" w:space="0"/>
              <w:right w:val="single" w:color="auto" w:sz="4" w:space="0"/>
            </w:tcBorders>
            <w:shd w:val="clear" w:color="auto" w:fill="auto"/>
            <w:vAlign w:val="center"/>
          </w:tcPr>
          <w:p w14:paraId="5FE4E8AC">
            <w:pPr>
              <w:widowControl/>
              <w:spacing w:line="240" w:lineRule="auto"/>
              <w:jc w:val="center"/>
              <w:rPr>
                <w:rFonts w:ascii="宋体" w:hAnsi="宋体" w:cs="宋体"/>
                <w:color w:val="000000"/>
                <w:kern w:val="0"/>
                <w:sz w:val="20"/>
                <w:szCs w:val="20"/>
              </w:rPr>
            </w:pPr>
          </w:p>
        </w:tc>
      </w:tr>
    </w:tbl>
    <w:p w14:paraId="1EFA0747">
      <w:pPr>
        <w:pStyle w:val="3"/>
        <w:ind w:firstLine="0" w:firstLineChars="0"/>
      </w:pPr>
    </w:p>
    <w:p w14:paraId="163ABD8B">
      <w:pPr>
        <w:pStyle w:val="3"/>
        <w:ind w:firstLine="0" w:firstLineChars="0"/>
      </w:pPr>
    </w:p>
    <w:p w14:paraId="0E1A50D7">
      <w:pPr>
        <w:pStyle w:val="3"/>
        <w:ind w:firstLine="0" w:firstLineChars="0"/>
      </w:pPr>
    </w:p>
    <w:p w14:paraId="1BE07F89">
      <w:pPr>
        <w:pStyle w:val="3"/>
        <w:ind w:firstLine="0" w:firstLineChars="0"/>
      </w:pPr>
    </w:p>
    <w:bookmarkEnd w:id="346"/>
    <w:p w14:paraId="45AE297B">
      <w:pPr>
        <w:pStyle w:val="5"/>
        <w:numPr>
          <w:ilvl w:val="2"/>
          <w:numId w:val="16"/>
        </w:numPr>
      </w:pPr>
      <w:bookmarkStart w:id="347" w:name="_Toc202539078"/>
      <w:r>
        <w:rPr>
          <w:rFonts w:hint="eastAsia"/>
        </w:rPr>
        <w:t>区域辅助审方中心</w:t>
      </w:r>
      <w:bookmarkEnd w:id="347"/>
    </w:p>
    <w:p w14:paraId="1E463DC6">
      <w:pPr>
        <w:ind w:firstLine="420"/>
        <w:rPr>
          <w:szCs w:val="24"/>
        </w:rPr>
      </w:pPr>
      <w:r>
        <w:rPr>
          <w:rFonts w:hint="eastAsia"/>
          <w:szCs w:val="24"/>
        </w:rPr>
        <w:t>以乌拉特前旗人民医院的审方系统，延伸覆盖基层机构，实现区域辅助审方。</w:t>
      </w:r>
    </w:p>
    <w:p w14:paraId="67C3DD2E">
      <w:pPr>
        <w:pStyle w:val="6"/>
        <w:numPr>
          <w:ilvl w:val="3"/>
          <w:numId w:val="16"/>
        </w:numPr>
      </w:pPr>
      <w:bookmarkStart w:id="348" w:name="_Toc195198448"/>
      <w:r>
        <w:rPr>
          <w:rFonts w:hint="eastAsia"/>
        </w:rPr>
        <w:t>区域监控中心及监控大屏</w:t>
      </w:r>
      <w:bookmarkEnd w:id="348"/>
    </w:p>
    <w:p w14:paraId="76B2B73E">
      <w:pPr>
        <w:pStyle w:val="3"/>
      </w:pPr>
      <w:r>
        <w:rPr>
          <w:rFonts w:hint="eastAsia" w:asciiTheme="minorEastAsia" w:hAnsiTheme="minorEastAsia" w:eastAsiaTheme="minorEastAsia"/>
        </w:rPr>
        <w:t>具备支持以下功能：</w:t>
      </w:r>
    </w:p>
    <w:p w14:paraId="4D449AA0">
      <w:pPr>
        <w:ind w:firstLine="480" w:firstLineChars="200"/>
        <w:rPr>
          <w:rFonts w:asciiTheme="minorEastAsia" w:hAnsiTheme="minorEastAsia"/>
          <w:szCs w:val="24"/>
        </w:rPr>
      </w:pPr>
      <w:r>
        <w:rPr>
          <w:rFonts w:hint="eastAsia" w:asciiTheme="minorEastAsia" w:hAnsiTheme="minorEastAsia"/>
          <w:szCs w:val="24"/>
        </w:rPr>
        <w:t>系统内设区域监控中心，可实现全区域范围内关键用药指标的智能监控，具体监控内容如下：</w:t>
      </w:r>
    </w:p>
    <w:p w14:paraId="50C5B1C2">
      <w:pPr>
        <w:pStyle w:val="70"/>
        <w:numPr>
          <w:ilvl w:val="0"/>
          <w:numId w:val="34"/>
        </w:numPr>
        <w:ind w:firstLineChars="0"/>
        <w:rPr>
          <w:rFonts w:asciiTheme="minorEastAsia" w:hAnsiTheme="minorEastAsia"/>
          <w:b/>
          <w:bCs/>
        </w:rPr>
      </w:pPr>
      <w:r>
        <w:rPr>
          <w:rFonts w:hint="eastAsia" w:asciiTheme="minorEastAsia" w:hAnsiTheme="minorEastAsia"/>
          <w:b/>
          <w:bCs/>
        </w:rPr>
        <w:t>处方自动审核</w:t>
      </w:r>
    </w:p>
    <w:p w14:paraId="571662C2">
      <w:pPr>
        <w:pStyle w:val="175"/>
        <w:ind w:firstLine="480"/>
      </w:pPr>
      <w:r>
        <w:rPr>
          <w:rFonts w:hint="eastAsia"/>
        </w:rPr>
        <w:t>监控</w:t>
      </w:r>
      <w:r>
        <w:t>全区合理用药审核情况，包括：</w:t>
      </w:r>
    </w:p>
    <w:p w14:paraId="486B2528">
      <w:pPr>
        <w:pStyle w:val="175"/>
        <w:ind w:firstLine="480"/>
        <w:rPr>
          <w:b/>
        </w:rPr>
      </w:pPr>
      <w:r>
        <w:t>门诊总处方数统计</w:t>
      </w:r>
    </w:p>
    <w:p w14:paraId="2E172EF7">
      <w:pPr>
        <w:pStyle w:val="175"/>
        <w:ind w:firstLine="480"/>
        <w:rPr>
          <w:b/>
        </w:rPr>
      </w:pPr>
      <w:r>
        <w:rPr>
          <w:rFonts w:hint="eastAsia"/>
        </w:rPr>
        <w:t>门诊/住院系统审查问题统计</w:t>
      </w:r>
    </w:p>
    <w:p w14:paraId="56042011">
      <w:pPr>
        <w:pStyle w:val="175"/>
        <w:ind w:firstLine="480"/>
        <w:rPr>
          <w:b/>
        </w:rPr>
      </w:pPr>
      <w:r>
        <w:rPr>
          <w:rFonts w:hint="eastAsia"/>
        </w:rPr>
        <w:t>门诊/住院问题处方医疗机构排名</w:t>
      </w:r>
    </w:p>
    <w:p w14:paraId="04610F70">
      <w:pPr>
        <w:pStyle w:val="175"/>
        <w:ind w:firstLine="480"/>
        <w:rPr>
          <w:b/>
        </w:rPr>
      </w:pPr>
      <w:r>
        <w:t>审查问题统计</w:t>
      </w:r>
    </w:p>
    <w:p w14:paraId="0ECD33A7">
      <w:pPr>
        <w:pStyle w:val="70"/>
        <w:numPr>
          <w:ilvl w:val="0"/>
          <w:numId w:val="34"/>
        </w:numPr>
        <w:ind w:firstLineChars="0"/>
        <w:rPr>
          <w:rFonts w:asciiTheme="minorEastAsia" w:hAnsiTheme="minorEastAsia"/>
          <w:b/>
          <w:bCs/>
        </w:rPr>
      </w:pPr>
      <w:r>
        <w:rPr>
          <w:rFonts w:hint="eastAsia" w:asciiTheme="minorEastAsia" w:hAnsiTheme="minorEastAsia"/>
          <w:b/>
          <w:bCs/>
        </w:rPr>
        <w:t>药师审方</w:t>
      </w:r>
    </w:p>
    <w:p w14:paraId="381EBCAC">
      <w:pPr>
        <w:pStyle w:val="175"/>
        <w:ind w:firstLine="480"/>
      </w:pPr>
      <w:r>
        <w:rPr>
          <w:rFonts w:hint="eastAsia"/>
        </w:rPr>
        <w:t>监控全区药师审方干预情况，包括：</w:t>
      </w:r>
    </w:p>
    <w:p w14:paraId="2CAEB193">
      <w:pPr>
        <w:pStyle w:val="175"/>
        <w:ind w:firstLine="480"/>
        <w:rPr>
          <w:rFonts w:eastAsiaTheme="minorEastAsia"/>
          <w:b/>
          <w:bCs/>
          <w:color w:val="000000" w:themeColor="text1"/>
          <w14:textFill>
            <w14:solidFill>
              <w14:schemeClr w14:val="tx1"/>
            </w14:solidFill>
          </w14:textFill>
        </w:rPr>
      </w:pPr>
      <w:r>
        <w:rPr>
          <w:rFonts w:hint="eastAsia" w:eastAsiaTheme="minorEastAsia"/>
          <w:bCs/>
          <w:color w:val="000000" w:themeColor="text1"/>
          <w14:textFill>
            <w14:solidFill>
              <w14:schemeClr w14:val="tx1"/>
            </w14:solidFill>
          </w14:textFill>
        </w:rPr>
        <w:t>处方/医嘱审核干预情况汇总</w:t>
      </w:r>
    </w:p>
    <w:p w14:paraId="0F6F4DF0">
      <w:pPr>
        <w:pStyle w:val="175"/>
        <w:ind w:firstLine="480"/>
        <w:rPr>
          <w:rFonts w:eastAsiaTheme="minorEastAsia"/>
          <w:b/>
          <w:bCs/>
          <w:color w:val="000000" w:themeColor="text1"/>
          <w14:textFill>
            <w14:solidFill>
              <w14:schemeClr w14:val="tx1"/>
            </w14:solidFill>
          </w14:textFill>
        </w:rPr>
      </w:pPr>
      <w:r>
        <w:rPr>
          <w:rFonts w:hint="eastAsia" w:eastAsiaTheme="minorEastAsia"/>
          <w:bCs/>
          <w:color w:val="000000" w:themeColor="text1"/>
          <w14:textFill>
            <w14:solidFill>
              <w14:schemeClr w14:val="tx1"/>
            </w14:solidFill>
          </w14:textFill>
        </w:rPr>
        <w:t>门诊/住院干预效果追踪</w:t>
      </w:r>
    </w:p>
    <w:p w14:paraId="61F5607E">
      <w:pPr>
        <w:pStyle w:val="175"/>
        <w:ind w:firstLine="480"/>
        <w:rPr>
          <w:rFonts w:eastAsiaTheme="minorEastAsia"/>
          <w:b/>
          <w:bCs/>
          <w:color w:val="000000" w:themeColor="text1"/>
          <w14:textFill>
            <w14:solidFill>
              <w14:schemeClr w14:val="tx1"/>
            </w14:solidFill>
          </w14:textFill>
        </w:rPr>
      </w:pPr>
      <w:r>
        <w:rPr>
          <w:rFonts w:hint="eastAsia" w:eastAsiaTheme="minorEastAsia"/>
          <w:bCs/>
          <w:color w:val="000000" w:themeColor="text1"/>
          <w14:textFill>
            <w14:solidFill>
              <w14:schemeClr w14:val="tx1"/>
            </w14:solidFill>
          </w14:textFill>
        </w:rPr>
        <w:t>门诊/住院今日动态监测</w:t>
      </w:r>
    </w:p>
    <w:p w14:paraId="3BAE3AAA">
      <w:pPr>
        <w:pStyle w:val="70"/>
        <w:numPr>
          <w:ilvl w:val="0"/>
          <w:numId w:val="34"/>
        </w:numPr>
        <w:ind w:firstLineChars="0"/>
        <w:rPr>
          <w:rFonts w:asciiTheme="minorEastAsia" w:hAnsiTheme="minorEastAsia"/>
          <w:b/>
          <w:bCs/>
        </w:rPr>
      </w:pPr>
      <w:r>
        <w:rPr>
          <w:rFonts w:hint="eastAsia" w:asciiTheme="minorEastAsia" w:hAnsiTheme="minorEastAsia"/>
          <w:b/>
          <w:bCs/>
        </w:rPr>
        <w:t>区域监控中心大屏</w:t>
      </w:r>
    </w:p>
    <w:p w14:paraId="1ADDCDD1">
      <w:pPr>
        <w:pStyle w:val="175"/>
        <w:ind w:firstLine="480"/>
        <w:rPr>
          <w:b/>
          <w:bCs/>
        </w:rPr>
      </w:pPr>
      <w:r>
        <w:rPr>
          <w:rFonts w:hint="eastAsia"/>
        </w:rPr>
        <w:t>系统支持可视化大屏展示，直观呈现全区关键用药指标。</w:t>
      </w:r>
    </w:p>
    <w:p w14:paraId="3390F9C6">
      <w:pPr>
        <w:pStyle w:val="6"/>
        <w:numPr>
          <w:ilvl w:val="3"/>
          <w:numId w:val="16"/>
        </w:numPr>
      </w:pPr>
      <w:bookmarkStart w:id="349" w:name="_Toc195198449"/>
      <w:r>
        <w:t>合理用药监测系统</w:t>
      </w:r>
      <w:bookmarkEnd w:id="349"/>
    </w:p>
    <w:p w14:paraId="208AC1FE">
      <w:pPr>
        <w:pStyle w:val="7"/>
        <w:numPr>
          <w:ilvl w:val="4"/>
          <w:numId w:val="16"/>
        </w:numPr>
      </w:pPr>
      <w:bookmarkStart w:id="350" w:name="_Toc443387396"/>
      <w:r>
        <w:t>处方（医嘱）用药监测功能</w:t>
      </w:r>
      <w:bookmarkEnd w:id="350"/>
    </w:p>
    <w:p w14:paraId="1A8F8508">
      <w:pPr>
        <w:pStyle w:val="3"/>
      </w:pPr>
      <w:r>
        <w:rPr>
          <w:rFonts w:hint="eastAsia" w:asciiTheme="minorEastAsia" w:hAnsiTheme="minorEastAsia" w:eastAsiaTheme="minorEastAsia"/>
        </w:rPr>
        <w:t>具备支持以下功能：</w:t>
      </w:r>
    </w:p>
    <w:p w14:paraId="1E0D37D2">
      <w:pPr>
        <w:ind w:right="101" w:rightChars="42" w:firstLine="540" w:firstLineChars="225"/>
        <w:rPr>
          <w:rFonts w:cs="Arial" w:asciiTheme="minorEastAsia" w:hAnsiTheme="minorEastAsia"/>
          <w:bCs/>
          <w:szCs w:val="24"/>
        </w:rPr>
      </w:pPr>
      <w:r>
        <w:rPr>
          <w:rFonts w:hint="eastAsia" w:cs="Arial" w:asciiTheme="minorEastAsia" w:hAnsiTheme="minorEastAsia"/>
          <w:bCs/>
          <w:szCs w:val="24"/>
        </w:rPr>
        <w:t>合理用药监测系统</w:t>
      </w:r>
      <w:r>
        <w:rPr>
          <w:rFonts w:cs="Arial" w:asciiTheme="minorEastAsia" w:hAnsiTheme="minorEastAsia"/>
          <w:bCs/>
          <w:szCs w:val="24"/>
        </w:rPr>
        <w:t>可以在处方药品输入完毕后，立即对药物医嘱中可能存在的药物相互作用、药物过敏、注射液体外配伍、剂量范围、药物禁忌、不良反应、重复用药、给药途径和特殊人群用药等不合理用药问题进行自动、实时的审查和监测，将监测结果信息提示给医生，使其更好地考虑用药方案、防范用药风险，达到合理用药的目的。</w:t>
      </w:r>
    </w:p>
    <w:p w14:paraId="6B8D85B8">
      <w:pPr>
        <w:ind w:right="101" w:rightChars="42" w:firstLine="540" w:firstLineChars="225"/>
        <w:rPr>
          <w:rFonts w:cs="Arial" w:asciiTheme="minorEastAsia" w:hAnsiTheme="minorEastAsia"/>
          <w:bCs/>
          <w:szCs w:val="24"/>
        </w:rPr>
      </w:pPr>
      <w:r>
        <w:rPr>
          <w:rFonts w:cs="Arial" w:asciiTheme="minorEastAsia" w:hAnsiTheme="minorEastAsia"/>
          <w:bCs/>
          <w:szCs w:val="24"/>
        </w:rPr>
        <w:t>同时，</w:t>
      </w:r>
      <w:r>
        <w:rPr>
          <w:rFonts w:hint="eastAsia" w:cs="Arial" w:asciiTheme="minorEastAsia" w:hAnsiTheme="minorEastAsia"/>
          <w:bCs/>
          <w:szCs w:val="24"/>
        </w:rPr>
        <w:t>系统</w:t>
      </w:r>
      <w:r>
        <w:rPr>
          <w:rFonts w:cs="Arial" w:asciiTheme="minorEastAsia" w:hAnsiTheme="minorEastAsia"/>
          <w:bCs/>
          <w:szCs w:val="24"/>
        </w:rPr>
        <w:t>还提供审查模式的用户自定义功能。根据不同需求，用户可以对</w:t>
      </w:r>
      <w:r>
        <w:rPr>
          <w:rFonts w:hint="eastAsia" w:cs="Arial" w:asciiTheme="minorEastAsia" w:hAnsiTheme="minorEastAsia"/>
          <w:bCs/>
          <w:szCs w:val="24"/>
        </w:rPr>
        <w:t>系统</w:t>
      </w:r>
      <w:r>
        <w:rPr>
          <w:rFonts w:cs="Arial" w:asciiTheme="minorEastAsia" w:hAnsiTheme="minorEastAsia"/>
          <w:bCs/>
          <w:szCs w:val="24"/>
        </w:rPr>
        <w:t>审查中需要开放哪些审查项目、审查级别进行设置。</w:t>
      </w:r>
    </w:p>
    <w:p w14:paraId="48D1BD39">
      <w:pPr>
        <w:pStyle w:val="178"/>
        <w:ind w:firstLine="480"/>
      </w:pPr>
      <w:r>
        <w:t>剂量范围审查</w:t>
      </w:r>
    </w:p>
    <w:p w14:paraId="217CF765">
      <w:pPr>
        <w:pStyle w:val="178"/>
        <w:ind w:firstLine="480"/>
      </w:pPr>
      <w:r>
        <w:rPr>
          <w:rFonts w:hint="eastAsia"/>
        </w:rPr>
        <w:t>中药饮片剂量审查</w:t>
      </w:r>
    </w:p>
    <w:p w14:paraId="5E203E10">
      <w:pPr>
        <w:pStyle w:val="178"/>
        <w:ind w:firstLine="480"/>
      </w:pPr>
      <w:r>
        <w:rPr>
          <w:rFonts w:hint="eastAsia"/>
        </w:rPr>
        <w:t>超多日用量审查</w:t>
      </w:r>
    </w:p>
    <w:p w14:paraId="3EC78FE5">
      <w:pPr>
        <w:pStyle w:val="178"/>
        <w:ind w:firstLine="480"/>
      </w:pPr>
      <w:r>
        <w:rPr>
          <w:rFonts w:hint="eastAsia"/>
        </w:rPr>
        <w:t>累积</w:t>
      </w:r>
      <w:r>
        <w:t>剂量审查</w:t>
      </w:r>
    </w:p>
    <w:p w14:paraId="73D95472">
      <w:pPr>
        <w:pStyle w:val="178"/>
        <w:ind w:firstLine="480"/>
      </w:pPr>
      <w:r>
        <w:t>超适应症审查</w:t>
      </w:r>
    </w:p>
    <w:p w14:paraId="34A08587">
      <w:pPr>
        <w:pStyle w:val="178"/>
        <w:ind w:firstLine="480"/>
      </w:pPr>
      <w:r>
        <w:t>肝损害剂量审查</w:t>
      </w:r>
    </w:p>
    <w:p w14:paraId="59A81023">
      <w:pPr>
        <w:pStyle w:val="178"/>
        <w:ind w:firstLine="480"/>
      </w:pPr>
      <w:r>
        <w:t>肾损害剂量审查</w:t>
      </w:r>
    </w:p>
    <w:p w14:paraId="37D784A6">
      <w:pPr>
        <w:pStyle w:val="178"/>
        <w:ind w:firstLine="480"/>
      </w:pPr>
      <w:r>
        <w:t>药物相互作用审查</w:t>
      </w:r>
    </w:p>
    <w:p w14:paraId="4224B2D8">
      <w:pPr>
        <w:pStyle w:val="178"/>
        <w:ind w:firstLine="480"/>
      </w:pPr>
      <w:r>
        <w:t>体外配伍审查</w:t>
      </w:r>
    </w:p>
    <w:p w14:paraId="756AE54A">
      <w:pPr>
        <w:pStyle w:val="178"/>
        <w:ind w:firstLine="480"/>
      </w:pPr>
      <w:r>
        <w:t>配伍浓度审查</w:t>
      </w:r>
    </w:p>
    <w:p w14:paraId="0C908E06">
      <w:pPr>
        <w:pStyle w:val="178"/>
        <w:ind w:firstLine="480"/>
      </w:pPr>
      <w:r>
        <w:rPr>
          <w:rFonts w:hint="eastAsia"/>
        </w:rPr>
        <w:t>钾离子监测</w:t>
      </w:r>
    </w:p>
    <w:p w14:paraId="7059A665">
      <w:pPr>
        <w:pStyle w:val="178"/>
        <w:ind w:firstLine="480"/>
      </w:pPr>
      <w:r>
        <w:rPr>
          <w:rFonts w:hint="eastAsia"/>
        </w:rPr>
        <w:t>TPN审查</w:t>
      </w:r>
    </w:p>
    <w:p w14:paraId="2D494DF2">
      <w:pPr>
        <w:pStyle w:val="178"/>
        <w:ind w:firstLine="480"/>
      </w:pPr>
      <w:r>
        <w:t>药物禁忌审查</w:t>
      </w:r>
    </w:p>
    <w:p w14:paraId="6E6734A2">
      <w:pPr>
        <w:pStyle w:val="178"/>
        <w:ind w:firstLine="480"/>
      </w:pPr>
      <w:r>
        <w:t>不良反应审查</w:t>
      </w:r>
    </w:p>
    <w:p w14:paraId="40DEDC34">
      <w:pPr>
        <w:pStyle w:val="178"/>
        <w:ind w:firstLine="480"/>
      </w:pPr>
      <w:r>
        <w:rPr>
          <w:rFonts w:hint="eastAsia"/>
        </w:rPr>
        <w:t>门诊输液</w:t>
      </w:r>
    </w:p>
    <w:p w14:paraId="15119554">
      <w:pPr>
        <w:pStyle w:val="178"/>
        <w:ind w:firstLine="480"/>
      </w:pPr>
      <w:r>
        <w:t>特殊人群用药审查</w:t>
      </w:r>
    </w:p>
    <w:p w14:paraId="69BAE09A">
      <w:pPr>
        <w:pStyle w:val="178"/>
        <w:ind w:firstLine="480"/>
      </w:pPr>
      <w:r>
        <w:t>药物过敏审查</w:t>
      </w:r>
    </w:p>
    <w:p w14:paraId="75A7A6D8">
      <w:pPr>
        <w:pStyle w:val="178"/>
        <w:ind w:firstLine="480"/>
      </w:pPr>
      <w:r>
        <w:t>给药途径审查</w:t>
      </w:r>
    </w:p>
    <w:p w14:paraId="475D5AA6">
      <w:pPr>
        <w:pStyle w:val="178"/>
        <w:ind w:firstLine="480"/>
      </w:pPr>
      <w:r>
        <w:t>重复用药审查</w:t>
      </w:r>
    </w:p>
    <w:p w14:paraId="26B2965F">
      <w:pPr>
        <w:pStyle w:val="178"/>
        <w:ind w:firstLine="480"/>
      </w:pPr>
      <w:r>
        <w:rPr>
          <w:rFonts w:hint="eastAsia"/>
        </w:rPr>
        <w:t>药物检验值审查</w:t>
      </w:r>
    </w:p>
    <w:p w14:paraId="33C5B1E9">
      <w:pPr>
        <w:pStyle w:val="178"/>
        <w:ind w:firstLine="480"/>
      </w:pPr>
      <w:r>
        <w:rPr>
          <w:rFonts w:hint="eastAsia"/>
        </w:rPr>
        <w:t>检验检查申请单审查</w:t>
      </w:r>
    </w:p>
    <w:p w14:paraId="4FFB6B1E">
      <w:pPr>
        <w:pStyle w:val="178"/>
        <w:ind w:firstLine="480"/>
      </w:pPr>
      <w:r>
        <w:rPr>
          <w:rFonts w:hint="eastAsia"/>
        </w:rPr>
        <w:t>规范性审查</w:t>
      </w:r>
    </w:p>
    <w:p w14:paraId="6B339B9F">
      <w:pPr>
        <w:pStyle w:val="178"/>
        <w:ind w:firstLine="480"/>
      </w:pPr>
      <w:r>
        <w:rPr>
          <w:rFonts w:hint="eastAsia"/>
        </w:rPr>
        <w:t>医保审查</w:t>
      </w:r>
    </w:p>
    <w:p w14:paraId="20CD45BA">
      <w:pPr>
        <w:pStyle w:val="178"/>
        <w:ind w:firstLine="480"/>
      </w:pPr>
      <w:r>
        <w:rPr>
          <w:rFonts w:hint="eastAsia"/>
        </w:rPr>
        <w:t>监测指标审查</w:t>
      </w:r>
    </w:p>
    <w:p w14:paraId="2DA9AEA1">
      <w:pPr>
        <w:pStyle w:val="178"/>
        <w:ind w:firstLine="480"/>
      </w:pPr>
      <w:r>
        <w:t>越权用药审查</w:t>
      </w:r>
    </w:p>
    <w:p w14:paraId="3A2AAAC6">
      <w:pPr>
        <w:pStyle w:val="178"/>
        <w:ind w:firstLine="480"/>
      </w:pPr>
      <w:r>
        <w:t>围术期用药审查</w:t>
      </w:r>
    </w:p>
    <w:p w14:paraId="56873A86">
      <w:pPr>
        <w:pStyle w:val="178"/>
        <w:ind w:firstLine="480"/>
      </w:pPr>
      <w:r>
        <w:t>细菌耐药率审查</w:t>
      </w:r>
    </w:p>
    <w:p w14:paraId="6039A15E">
      <w:pPr>
        <w:pStyle w:val="7"/>
        <w:numPr>
          <w:ilvl w:val="4"/>
          <w:numId w:val="16"/>
        </w:numPr>
      </w:pPr>
      <w:bookmarkStart w:id="351" w:name="_Toc423097794"/>
      <w:bookmarkStart w:id="352" w:name="_Toc443387397"/>
      <w:r>
        <w:rPr>
          <w:rFonts w:hint="eastAsia"/>
        </w:rPr>
        <w:t>药品专项管控功能</w:t>
      </w:r>
    </w:p>
    <w:p w14:paraId="4DA2A5BB">
      <w:pPr>
        <w:ind w:right="101" w:rightChars="42" w:firstLine="480" w:firstLineChars="200"/>
        <w:rPr>
          <w:rFonts w:cs="Arial" w:asciiTheme="minorEastAsia" w:hAnsiTheme="minorEastAsia"/>
          <w:bCs/>
          <w:szCs w:val="24"/>
        </w:rPr>
      </w:pPr>
      <w:r>
        <w:rPr>
          <w:rFonts w:hint="eastAsia" w:cs="Arial" w:asciiTheme="minorEastAsia" w:hAnsiTheme="minorEastAsia"/>
          <w:bCs/>
          <w:szCs w:val="24"/>
        </w:rPr>
        <w:t>系统</w:t>
      </w:r>
      <w:r>
        <w:rPr>
          <w:rFonts w:cs="Arial" w:asciiTheme="minorEastAsia" w:hAnsiTheme="minorEastAsia"/>
          <w:bCs/>
          <w:szCs w:val="24"/>
        </w:rPr>
        <w:t>提供以下</w:t>
      </w:r>
      <w:r>
        <w:rPr>
          <w:rFonts w:hint="eastAsia" w:cs="Arial" w:asciiTheme="minorEastAsia" w:hAnsiTheme="minorEastAsia"/>
          <w:bCs/>
          <w:szCs w:val="24"/>
        </w:rPr>
        <w:t>药品专项管控</w:t>
      </w:r>
      <w:r>
        <w:rPr>
          <w:rFonts w:cs="Arial" w:asciiTheme="minorEastAsia" w:hAnsiTheme="minorEastAsia"/>
          <w:bCs/>
          <w:szCs w:val="24"/>
        </w:rPr>
        <w:t>功能</w:t>
      </w:r>
      <w:r>
        <w:rPr>
          <w:rFonts w:hint="eastAsia" w:cs="Arial" w:asciiTheme="minorEastAsia" w:hAnsiTheme="minorEastAsia"/>
          <w:bCs/>
          <w:szCs w:val="24"/>
        </w:rPr>
        <w:t>,</w:t>
      </w:r>
      <w:r>
        <w:rPr>
          <w:rFonts w:hint="eastAsia" w:asciiTheme="minorEastAsia" w:hAnsiTheme="minorEastAsia" w:eastAsiaTheme="minorEastAsia"/>
        </w:rPr>
        <w:t xml:space="preserve"> 具备支持以下功能：</w:t>
      </w:r>
    </w:p>
    <w:p w14:paraId="0D24F7CE">
      <w:pPr>
        <w:pStyle w:val="85"/>
        <w:numPr>
          <w:ilvl w:val="1"/>
          <w:numId w:val="35"/>
        </w:numPr>
        <w:spacing w:before="0"/>
        <w:jc w:val="both"/>
        <w:rPr>
          <w:rFonts w:asciiTheme="minorEastAsia" w:hAnsiTheme="minorEastAsia" w:eastAsiaTheme="minorEastAsia"/>
          <w:sz w:val="24"/>
          <w:szCs w:val="24"/>
        </w:rPr>
      </w:pPr>
      <w:r>
        <w:rPr>
          <w:rFonts w:hint="eastAsia" w:asciiTheme="minorEastAsia" w:hAnsiTheme="minorEastAsia" w:eastAsiaTheme="minorEastAsia"/>
          <w:sz w:val="24"/>
          <w:szCs w:val="24"/>
        </w:rPr>
        <w:t>质子泵抑制药（P</w:t>
      </w:r>
      <w:r>
        <w:rPr>
          <w:rFonts w:asciiTheme="minorEastAsia" w:hAnsiTheme="minorEastAsia" w:eastAsiaTheme="minorEastAsia"/>
          <w:sz w:val="24"/>
          <w:szCs w:val="24"/>
        </w:rPr>
        <w:t>PI</w:t>
      </w:r>
      <w:r>
        <w:rPr>
          <w:rFonts w:hint="eastAsia" w:asciiTheme="minorEastAsia" w:hAnsiTheme="minorEastAsia" w:eastAsiaTheme="minorEastAsia"/>
          <w:sz w:val="24"/>
          <w:szCs w:val="24"/>
        </w:rPr>
        <w:t>）专项管控</w:t>
      </w:r>
    </w:p>
    <w:p w14:paraId="01AC9452">
      <w:pPr>
        <w:ind w:right="101" w:rightChars="42" w:firstLine="480" w:firstLineChars="200"/>
        <w:rPr>
          <w:rFonts w:cs="Arial" w:asciiTheme="minorEastAsia" w:hAnsiTheme="minorEastAsia"/>
          <w:bCs/>
          <w:szCs w:val="24"/>
        </w:rPr>
      </w:pPr>
      <w:r>
        <w:rPr>
          <w:rFonts w:hint="eastAsia" w:cs="Arial" w:asciiTheme="minorEastAsia" w:hAnsiTheme="minorEastAsia"/>
          <w:bCs/>
          <w:szCs w:val="24"/>
        </w:rPr>
        <w:t>P</w:t>
      </w:r>
      <w:r>
        <w:rPr>
          <w:rFonts w:cs="Arial" w:asciiTheme="minorEastAsia" w:hAnsiTheme="minorEastAsia"/>
          <w:bCs/>
          <w:szCs w:val="24"/>
        </w:rPr>
        <w:t>PI</w:t>
      </w:r>
      <w:r>
        <w:rPr>
          <w:rFonts w:hint="eastAsia" w:cs="Arial" w:asciiTheme="minorEastAsia" w:hAnsiTheme="minorEastAsia"/>
          <w:bCs/>
          <w:szCs w:val="24"/>
        </w:rPr>
        <w:t>用药评估单：当用药评估单填写功能开启后，医生开具PPI药品时，系统将要求医生填写用药目的、静脉用药指征。 系统能提供质子泵抑制剂用药评估单统计分析，支持统计报表（EXCEL格式）的导出功能。</w:t>
      </w:r>
    </w:p>
    <w:p w14:paraId="09D02CDC">
      <w:pPr>
        <w:ind w:right="101" w:rightChars="42" w:firstLine="480" w:firstLineChars="200"/>
        <w:rPr>
          <w:rFonts w:cs="Arial" w:asciiTheme="minorEastAsia" w:hAnsiTheme="minorEastAsia"/>
          <w:bCs/>
          <w:szCs w:val="24"/>
        </w:rPr>
      </w:pPr>
      <w:r>
        <w:rPr>
          <w:rFonts w:cs="Arial" w:asciiTheme="minorEastAsia" w:hAnsiTheme="minorEastAsia"/>
          <w:bCs/>
          <w:szCs w:val="24"/>
        </w:rPr>
        <w:t>应激性溃疡风险预警</w:t>
      </w:r>
      <w:r>
        <w:rPr>
          <w:rFonts w:hint="eastAsia" w:cs="Arial" w:asciiTheme="minorEastAsia" w:hAnsiTheme="minorEastAsia"/>
          <w:bCs/>
          <w:szCs w:val="24"/>
        </w:rPr>
        <w:t>：系统可结合患者病生状态、联用药品等因素，评估患者是否具有应激性溃疡风险。若存在风险而医生未开具预防用PPI药品，系统将予以警示。</w:t>
      </w:r>
    </w:p>
    <w:p w14:paraId="4BC6F69F">
      <w:pPr>
        <w:ind w:right="101" w:rightChars="42" w:firstLine="480" w:firstLineChars="200"/>
        <w:rPr>
          <w:rFonts w:cs="Arial" w:asciiTheme="minorEastAsia" w:hAnsiTheme="minorEastAsia"/>
          <w:bCs/>
          <w:szCs w:val="24"/>
        </w:rPr>
      </w:pPr>
      <w:r>
        <w:rPr>
          <w:rFonts w:cs="Arial" w:asciiTheme="minorEastAsia" w:hAnsiTheme="minorEastAsia"/>
          <w:bCs/>
          <w:szCs w:val="24"/>
        </w:rPr>
        <w:t>围术期预防使用</w:t>
      </w:r>
      <w:r>
        <w:rPr>
          <w:rFonts w:hint="eastAsia" w:cs="Arial" w:asciiTheme="minorEastAsia" w:hAnsiTheme="minorEastAsia"/>
          <w:bCs/>
          <w:szCs w:val="24"/>
        </w:rPr>
        <w:t>PPI药品审查：</w:t>
      </w:r>
      <w:bookmarkStart w:id="353" w:name="_Hlk126679613"/>
      <w:r>
        <w:rPr>
          <w:rFonts w:hint="eastAsia" w:cs="Arial" w:asciiTheme="minorEastAsia" w:hAnsiTheme="minorEastAsia"/>
          <w:bCs/>
          <w:szCs w:val="24"/>
        </w:rPr>
        <w:t>本功能可以提示围手术期内预防使用PPI药品是否合理，预防使用的PPI药品品种、疗程是否合理。若医生在患者无预防使用PPI药品指征时用药，或PPI药品品种不在已维护的围手术期可预防使用的PPI药品品种范围内，或手术后预防使用PPI药品时长不在医院规定的时间内，系统将警示医生可能需要调整病人围手术期的PPI用药方案。</w:t>
      </w:r>
      <w:bookmarkEnd w:id="353"/>
    </w:p>
    <w:p w14:paraId="7048D88F">
      <w:pPr>
        <w:pStyle w:val="85"/>
        <w:numPr>
          <w:ilvl w:val="1"/>
          <w:numId w:val="35"/>
        </w:numPr>
        <w:spacing w:before="0"/>
        <w:jc w:val="both"/>
        <w:rPr>
          <w:rFonts w:asciiTheme="minorEastAsia" w:hAnsiTheme="minorEastAsia" w:eastAsiaTheme="minorEastAsia"/>
          <w:sz w:val="24"/>
          <w:szCs w:val="24"/>
        </w:rPr>
      </w:pPr>
      <w:r>
        <w:rPr>
          <w:rFonts w:hint="eastAsia" w:asciiTheme="minorEastAsia" w:hAnsiTheme="minorEastAsia" w:eastAsiaTheme="minorEastAsia"/>
          <w:sz w:val="24"/>
          <w:szCs w:val="24"/>
        </w:rPr>
        <w:t>抗菌药物专项管控</w:t>
      </w:r>
    </w:p>
    <w:p w14:paraId="52836245">
      <w:pPr>
        <w:ind w:right="101" w:rightChars="42" w:firstLine="480" w:firstLineChars="200"/>
        <w:rPr>
          <w:rFonts w:cs="Arial" w:asciiTheme="minorEastAsia" w:hAnsiTheme="minorEastAsia"/>
          <w:bCs/>
          <w:szCs w:val="24"/>
        </w:rPr>
      </w:pPr>
      <w:r>
        <w:rPr>
          <w:rFonts w:hint="eastAsia" w:cs="Arial" w:asciiTheme="minorEastAsia" w:hAnsiTheme="minorEastAsia"/>
          <w:bCs/>
          <w:szCs w:val="24"/>
        </w:rPr>
        <w:t>抗菌药物用药评估单：当抗菌药物用药评估单功能开启后，医生开具抗菌药物用作I类切口手术/非手术预防目的，或使用注射剂型抗菌药物时，系统将要求医生填写用药评估单。系统提供抗菌药物手术预防用药评估单、抗菌药物非手术预防用药评估单、抗菌药物静脉用药评估单。系统能提供抗菌药物用药评估单统计分析，支持统计报表（EXCEL格式）的导出功能。</w:t>
      </w:r>
    </w:p>
    <w:p w14:paraId="60212A82">
      <w:pPr>
        <w:ind w:right="101" w:rightChars="42" w:firstLine="480" w:firstLineChars="200"/>
        <w:rPr>
          <w:rFonts w:cs="Arial" w:asciiTheme="minorEastAsia" w:hAnsiTheme="minorEastAsia"/>
          <w:bCs/>
          <w:szCs w:val="24"/>
        </w:rPr>
      </w:pPr>
      <w:r>
        <w:rPr>
          <w:rFonts w:hint="eastAsia" w:cs="Arial" w:asciiTheme="minorEastAsia" w:hAnsiTheme="minorEastAsia"/>
          <w:bCs/>
          <w:szCs w:val="24"/>
        </w:rPr>
        <w:t>抗菌药物用药指征：根据《抗菌药物临床应用指导原则》要求，系统可在医生开具抗菌药物时审查是否有对应的抗菌药物用药指征。</w:t>
      </w:r>
    </w:p>
    <w:p w14:paraId="4F1E755D">
      <w:pPr>
        <w:ind w:right="101" w:rightChars="42" w:firstLine="480" w:firstLineChars="200"/>
        <w:rPr>
          <w:rFonts w:cs="Arial" w:asciiTheme="minorEastAsia" w:hAnsiTheme="minorEastAsia"/>
          <w:bCs/>
          <w:szCs w:val="24"/>
        </w:rPr>
      </w:pPr>
      <w:r>
        <w:rPr>
          <w:rFonts w:hint="eastAsia" w:cs="Arial" w:asciiTheme="minorEastAsia" w:hAnsiTheme="minorEastAsia"/>
          <w:bCs/>
          <w:szCs w:val="24"/>
        </w:rPr>
        <w:t>特殊级抗菌药物会诊审查：根据《抗菌药物临床应用指导原则》要求，系统可审查医生开具特殊级抗菌药物是否有对应的会诊单。</w:t>
      </w:r>
    </w:p>
    <w:p w14:paraId="35A6699B">
      <w:pPr>
        <w:pStyle w:val="85"/>
        <w:numPr>
          <w:ilvl w:val="1"/>
          <w:numId w:val="35"/>
        </w:numPr>
        <w:spacing w:before="0"/>
        <w:jc w:val="both"/>
        <w:rPr>
          <w:rFonts w:asciiTheme="minorEastAsia" w:hAnsiTheme="minorEastAsia" w:eastAsiaTheme="minorEastAsia"/>
          <w:sz w:val="24"/>
          <w:szCs w:val="24"/>
        </w:rPr>
      </w:pPr>
      <w:r>
        <w:rPr>
          <w:rFonts w:hint="eastAsia" w:asciiTheme="minorEastAsia" w:hAnsiTheme="minorEastAsia" w:eastAsiaTheme="minorEastAsia"/>
          <w:sz w:val="24"/>
          <w:szCs w:val="24"/>
        </w:rPr>
        <w:t>中药协定方专项管控</w:t>
      </w:r>
    </w:p>
    <w:p w14:paraId="1EC631AB">
      <w:pPr>
        <w:ind w:right="101" w:rightChars="42" w:firstLine="480" w:firstLineChars="200"/>
        <w:rPr>
          <w:rFonts w:cs="Arial" w:asciiTheme="minorEastAsia" w:hAnsiTheme="minorEastAsia"/>
          <w:bCs/>
          <w:szCs w:val="24"/>
        </w:rPr>
      </w:pPr>
      <w:r>
        <w:rPr>
          <w:rFonts w:hint="eastAsia" w:cs="Arial" w:asciiTheme="minorEastAsia" w:hAnsiTheme="minorEastAsia"/>
          <w:bCs/>
          <w:szCs w:val="24"/>
        </w:rPr>
        <w:t>本功能是根据医院规定的中药协定方组成及主治，提示医生开具中药协定方时，是否辩证用药。</w:t>
      </w:r>
    </w:p>
    <w:p w14:paraId="334DA4DF">
      <w:pPr>
        <w:pStyle w:val="85"/>
        <w:numPr>
          <w:ilvl w:val="1"/>
          <w:numId w:val="35"/>
        </w:numPr>
        <w:spacing w:before="0"/>
        <w:jc w:val="both"/>
        <w:rPr>
          <w:rFonts w:asciiTheme="minorEastAsia" w:hAnsiTheme="minorEastAsia" w:eastAsiaTheme="minorEastAsia"/>
          <w:sz w:val="24"/>
          <w:szCs w:val="24"/>
        </w:rPr>
      </w:pPr>
      <w:r>
        <w:rPr>
          <w:rFonts w:hint="eastAsia" w:asciiTheme="minorEastAsia" w:hAnsiTheme="minorEastAsia" w:eastAsiaTheme="minorEastAsia"/>
          <w:sz w:val="24"/>
          <w:szCs w:val="24"/>
        </w:rPr>
        <w:t>经验性用药专项管控</w:t>
      </w:r>
    </w:p>
    <w:p w14:paraId="787DFAE2">
      <w:pPr>
        <w:ind w:right="101" w:rightChars="42" w:firstLine="480" w:firstLineChars="200"/>
        <w:rPr>
          <w:rFonts w:cs="Arial" w:asciiTheme="minorEastAsia" w:hAnsiTheme="minorEastAsia"/>
          <w:bCs/>
          <w:szCs w:val="24"/>
        </w:rPr>
      </w:pPr>
      <w:r>
        <w:rPr>
          <w:rFonts w:hint="eastAsia" w:cs="Arial" w:asciiTheme="minorEastAsia" w:hAnsiTheme="minorEastAsia"/>
          <w:bCs/>
          <w:szCs w:val="24"/>
        </w:rPr>
        <w:t>本功能可以提示抗肿瘤药物过敏反应预处理药品品种选择是否适宜。若医生开具紫杉醇、紫杉醇脂质体、多西他赛时，未选择过敏反应预处理药品或选择的药品品种不在已维护品种范围内，系统将警示医生。</w:t>
      </w:r>
    </w:p>
    <w:p w14:paraId="12609BA2">
      <w:pPr>
        <w:pStyle w:val="7"/>
        <w:numPr>
          <w:ilvl w:val="4"/>
          <w:numId w:val="16"/>
        </w:numPr>
      </w:pPr>
      <w:r>
        <w:t>医药信息在线查询功能</w:t>
      </w:r>
      <w:bookmarkEnd w:id="351"/>
      <w:bookmarkEnd w:id="352"/>
    </w:p>
    <w:p w14:paraId="5DAD1282">
      <w:pPr>
        <w:pStyle w:val="3"/>
      </w:pPr>
      <w:r>
        <w:rPr>
          <w:rFonts w:hint="eastAsia" w:asciiTheme="minorEastAsia" w:hAnsiTheme="minorEastAsia" w:eastAsiaTheme="minorEastAsia"/>
        </w:rPr>
        <w:t>具备支持以下功能：</w:t>
      </w:r>
    </w:p>
    <w:p w14:paraId="3ADFFD86">
      <w:pPr>
        <w:pStyle w:val="85"/>
        <w:numPr>
          <w:ilvl w:val="1"/>
          <w:numId w:val="36"/>
        </w:numPr>
        <w:spacing w:before="0"/>
        <w:jc w:val="both"/>
        <w:rPr>
          <w:rFonts w:asciiTheme="minorEastAsia" w:hAnsiTheme="minorEastAsia" w:eastAsiaTheme="minorEastAsia"/>
          <w:sz w:val="24"/>
          <w:szCs w:val="24"/>
        </w:rPr>
      </w:pPr>
      <w:r>
        <w:rPr>
          <w:rFonts w:asciiTheme="minorEastAsia" w:hAnsiTheme="minorEastAsia" w:eastAsiaTheme="minorEastAsia"/>
          <w:sz w:val="24"/>
          <w:szCs w:val="24"/>
        </w:rPr>
        <w:t>重要提示</w:t>
      </w:r>
    </w:p>
    <w:p w14:paraId="712F9A8E">
      <w:pPr>
        <w:ind w:right="101" w:rightChars="42" w:firstLine="470" w:firstLineChars="196"/>
        <w:rPr>
          <w:rFonts w:cs="Arial" w:asciiTheme="minorEastAsia" w:hAnsiTheme="minorEastAsia"/>
          <w:szCs w:val="24"/>
        </w:rPr>
      </w:pPr>
      <w:r>
        <w:rPr>
          <w:rFonts w:cs="Arial" w:asciiTheme="minorEastAsia" w:hAnsiTheme="minorEastAsia"/>
          <w:szCs w:val="24"/>
        </w:rPr>
        <w:t>录入每条医嘱药品时，</w:t>
      </w:r>
      <w:r>
        <w:rPr>
          <w:rFonts w:hint="eastAsia" w:cs="Arial" w:asciiTheme="minorEastAsia" w:hAnsiTheme="minorEastAsia"/>
          <w:szCs w:val="24"/>
        </w:rPr>
        <w:t>系统</w:t>
      </w:r>
      <w:r>
        <w:rPr>
          <w:rFonts w:cs="Arial" w:asciiTheme="minorEastAsia" w:hAnsiTheme="minorEastAsia"/>
          <w:szCs w:val="24"/>
        </w:rPr>
        <w:t>会自动弹出重要提示浮动窗口，在不干扰用户日常工作的情况下将药物临床使用重要的安全性信息通过简明扼要的浮动窗口形式及时地呈现给用户，以供临床用药参考。</w:t>
      </w:r>
    </w:p>
    <w:p w14:paraId="7B75EDE1">
      <w:pPr>
        <w:ind w:right="101" w:rightChars="42" w:firstLine="470" w:firstLineChars="196"/>
        <w:rPr>
          <w:rFonts w:cs="Arial" w:asciiTheme="minorEastAsia" w:hAnsiTheme="minorEastAsia"/>
          <w:szCs w:val="24"/>
        </w:rPr>
      </w:pPr>
      <w:r>
        <w:rPr>
          <w:rFonts w:cs="Arial" w:asciiTheme="minorEastAsia" w:hAnsiTheme="minorEastAsia"/>
          <w:szCs w:val="24"/>
        </w:rPr>
        <w:t>重要提示信息包括“PASS药品重要信息”、“医院药品重要信息”和“药品属性信息”三部分，如药物禁忌症、妊娠、哺乳用药、毒/麻/精、兴奋剂、OTC标记、特别警示等。其中“医院药品重要信息”和“药品属性信息”均可由用户根据医院实际情况对显示内容进行自定义维护，以便及时提示医生医院药品信息的相关内容。</w:t>
      </w:r>
    </w:p>
    <w:p w14:paraId="428C277D">
      <w:pPr>
        <w:pStyle w:val="85"/>
        <w:numPr>
          <w:ilvl w:val="1"/>
          <w:numId w:val="36"/>
        </w:numPr>
        <w:spacing w:before="0"/>
        <w:jc w:val="both"/>
        <w:rPr>
          <w:rFonts w:asciiTheme="minorEastAsia" w:hAnsiTheme="minorEastAsia" w:eastAsiaTheme="minorEastAsia"/>
          <w:sz w:val="24"/>
          <w:szCs w:val="24"/>
        </w:rPr>
      </w:pPr>
      <w:r>
        <w:rPr>
          <w:rFonts w:asciiTheme="minorEastAsia" w:hAnsiTheme="minorEastAsia" w:eastAsiaTheme="minorEastAsia"/>
          <w:sz w:val="24"/>
          <w:szCs w:val="24"/>
        </w:rPr>
        <w:t>药品说明书</w:t>
      </w:r>
    </w:p>
    <w:p w14:paraId="37B06E36">
      <w:pPr>
        <w:ind w:right="101" w:rightChars="42" w:firstLine="480" w:firstLineChars="200"/>
        <w:rPr>
          <w:rFonts w:cs="Arial" w:asciiTheme="minorEastAsia" w:hAnsiTheme="minorEastAsia"/>
          <w:bCs/>
          <w:szCs w:val="24"/>
        </w:rPr>
      </w:pPr>
      <w:r>
        <w:rPr>
          <w:rFonts w:hint="eastAsia" w:cs="Arial" w:asciiTheme="minorEastAsia" w:hAnsiTheme="minorEastAsia"/>
          <w:bCs/>
          <w:szCs w:val="24"/>
        </w:rPr>
        <w:t>系统</w:t>
      </w:r>
      <w:r>
        <w:rPr>
          <w:rFonts w:cs="Arial" w:asciiTheme="minorEastAsia" w:hAnsiTheme="minorEastAsia"/>
          <w:bCs/>
          <w:szCs w:val="24"/>
        </w:rPr>
        <w:t>药品说明书提供国家药品监督管理局（</w:t>
      </w:r>
      <w:r>
        <w:rPr>
          <w:rFonts w:hint="eastAsia" w:cs="Arial" w:asciiTheme="minorEastAsia" w:hAnsiTheme="minorEastAsia"/>
          <w:bCs/>
          <w:szCs w:val="24"/>
        </w:rPr>
        <w:t>NMPA</w:t>
      </w:r>
      <w:r>
        <w:rPr>
          <w:rFonts w:cs="Arial" w:asciiTheme="minorEastAsia" w:hAnsiTheme="minorEastAsia"/>
          <w:bCs/>
          <w:szCs w:val="24"/>
        </w:rPr>
        <w:t>）审核发布的国家药品标准说明书，可快速查看在用厂家药品说明书。</w:t>
      </w:r>
    </w:p>
    <w:p w14:paraId="5611A8B2">
      <w:pPr>
        <w:ind w:right="101" w:rightChars="42" w:firstLine="480" w:firstLineChars="200"/>
        <w:rPr>
          <w:rFonts w:cs="Arial" w:asciiTheme="minorEastAsia" w:hAnsiTheme="minorEastAsia"/>
          <w:bCs/>
          <w:szCs w:val="24"/>
        </w:rPr>
      </w:pPr>
      <w:r>
        <w:rPr>
          <w:rFonts w:cs="Arial" w:asciiTheme="minorEastAsia" w:hAnsiTheme="minorEastAsia"/>
          <w:bCs/>
          <w:szCs w:val="24"/>
        </w:rPr>
        <w:t>通过说明书自定义维护工具可对药品说明书内容进行修订，以修正因说明书版本差别所致的信息偏差。同时，用户可以在</w:t>
      </w:r>
      <w:r>
        <w:rPr>
          <w:rFonts w:hint="eastAsia" w:cs="Arial" w:asciiTheme="minorEastAsia" w:hAnsiTheme="minorEastAsia"/>
          <w:bCs/>
          <w:szCs w:val="24"/>
        </w:rPr>
        <w:t>系统</w:t>
      </w:r>
      <w:r>
        <w:rPr>
          <w:rFonts w:cs="Arial" w:asciiTheme="minorEastAsia" w:hAnsiTheme="minorEastAsia"/>
          <w:bCs/>
          <w:szCs w:val="24"/>
        </w:rPr>
        <w:t>药品说明书的基础上进行药品说明书自主维护，提高效率。</w:t>
      </w:r>
    </w:p>
    <w:p w14:paraId="3E2D8469">
      <w:pPr>
        <w:pStyle w:val="85"/>
        <w:numPr>
          <w:ilvl w:val="1"/>
          <w:numId w:val="36"/>
        </w:numPr>
        <w:spacing w:before="0"/>
        <w:jc w:val="both"/>
        <w:rPr>
          <w:rFonts w:asciiTheme="minorEastAsia" w:hAnsiTheme="minorEastAsia" w:eastAsiaTheme="minorEastAsia"/>
          <w:sz w:val="24"/>
          <w:szCs w:val="24"/>
        </w:rPr>
      </w:pPr>
      <w:r>
        <w:rPr>
          <w:rFonts w:hint="eastAsia" w:asciiTheme="minorEastAsia" w:hAnsiTheme="minorEastAsia" w:eastAsiaTheme="minorEastAsia"/>
          <w:sz w:val="24"/>
          <w:szCs w:val="24"/>
        </w:rPr>
        <w:t>中药材专论</w:t>
      </w:r>
    </w:p>
    <w:p w14:paraId="4B8DC6AE">
      <w:pPr>
        <w:ind w:right="101" w:rightChars="42" w:firstLine="480" w:firstLineChars="200"/>
        <w:rPr>
          <w:rFonts w:cs="Arial" w:asciiTheme="minorEastAsia" w:hAnsiTheme="minorEastAsia"/>
          <w:bCs/>
          <w:szCs w:val="24"/>
        </w:rPr>
      </w:pPr>
      <w:r>
        <w:rPr>
          <w:rFonts w:hint="eastAsia" w:cs="Arial" w:asciiTheme="minorEastAsia" w:hAnsiTheme="minorEastAsia"/>
          <w:szCs w:val="24"/>
        </w:rPr>
        <w:t>中药材专论信息主要来源于中国药典及中医专著，</w:t>
      </w:r>
      <w:r>
        <w:rPr>
          <w:rFonts w:cs="Arial" w:asciiTheme="minorEastAsia" w:hAnsiTheme="minorEastAsia"/>
          <w:szCs w:val="24"/>
        </w:rPr>
        <w:t>录入</w:t>
      </w:r>
      <w:r>
        <w:rPr>
          <w:rFonts w:hint="eastAsia" w:cs="Arial" w:asciiTheme="minorEastAsia" w:hAnsiTheme="minorEastAsia"/>
          <w:szCs w:val="24"/>
        </w:rPr>
        <w:t>中药材</w:t>
      </w:r>
      <w:r>
        <w:rPr>
          <w:rFonts w:cs="Arial" w:asciiTheme="minorEastAsia" w:hAnsiTheme="minorEastAsia"/>
          <w:szCs w:val="24"/>
        </w:rPr>
        <w:t>药品</w:t>
      </w:r>
      <w:r>
        <w:rPr>
          <w:rFonts w:hint="eastAsia" w:cs="Arial" w:asciiTheme="minorEastAsia" w:hAnsiTheme="minorEastAsia"/>
          <w:szCs w:val="24"/>
        </w:rPr>
        <w:t>时</w:t>
      </w:r>
      <w:r>
        <w:rPr>
          <w:rFonts w:hint="eastAsia" w:cs="Arial" w:asciiTheme="minorEastAsia" w:hAnsiTheme="minorEastAsia"/>
          <w:bCs/>
          <w:szCs w:val="24"/>
        </w:rPr>
        <w:t>，可快速查看相应药品的中药材专论信息，包括用法用量、毒性信息、注意事项、临床应用等。</w:t>
      </w:r>
    </w:p>
    <w:p w14:paraId="0EE9A4A4">
      <w:pPr>
        <w:pStyle w:val="7"/>
        <w:numPr>
          <w:ilvl w:val="4"/>
          <w:numId w:val="16"/>
        </w:numPr>
      </w:pPr>
      <w:bookmarkStart w:id="354" w:name="_Toc443387398"/>
      <w:bookmarkStart w:id="355" w:name="_Toc423097795"/>
      <w:r>
        <w:t>统计分析功能</w:t>
      </w:r>
      <w:bookmarkEnd w:id="354"/>
      <w:bookmarkEnd w:id="355"/>
    </w:p>
    <w:p w14:paraId="35EE65D0">
      <w:pPr>
        <w:pStyle w:val="3"/>
      </w:pPr>
      <w:r>
        <w:rPr>
          <w:rFonts w:hint="eastAsia" w:asciiTheme="minorEastAsia" w:hAnsiTheme="minorEastAsia" w:eastAsiaTheme="minorEastAsia"/>
        </w:rPr>
        <w:t>具备支持以下功能：</w:t>
      </w:r>
    </w:p>
    <w:p w14:paraId="40629286">
      <w:pPr>
        <w:ind w:right="101" w:rightChars="42" w:firstLine="470" w:firstLineChars="196"/>
        <w:rPr>
          <w:rFonts w:cs="Arial" w:asciiTheme="minorEastAsia" w:hAnsiTheme="minorEastAsia"/>
          <w:bCs/>
          <w:szCs w:val="24"/>
        </w:rPr>
      </w:pPr>
      <w:r>
        <w:rPr>
          <w:rFonts w:hint="eastAsia" w:cs="Arial" w:asciiTheme="minorEastAsia" w:hAnsiTheme="minorEastAsia"/>
          <w:bCs/>
          <w:szCs w:val="24"/>
        </w:rPr>
        <w:t>系统</w:t>
      </w:r>
      <w:r>
        <w:rPr>
          <w:rFonts w:cs="Arial" w:asciiTheme="minorEastAsia" w:hAnsiTheme="minorEastAsia"/>
          <w:bCs/>
          <w:szCs w:val="24"/>
        </w:rPr>
        <w:t>能提供全面的药物监测结果的统计分析功能，医院可对不合理用药处方（医嘱）监测结果进行查询再现、回顾性审查和多角度的统计分析，为医院相关部门提供医院用药管理的基础数据。</w:t>
      </w:r>
      <w:r>
        <w:rPr>
          <w:rFonts w:hint="eastAsia" w:cs="Arial" w:asciiTheme="minorEastAsia" w:hAnsiTheme="minorEastAsia"/>
          <w:bCs/>
          <w:szCs w:val="24"/>
        </w:rPr>
        <w:t>还可根据医生填写的用药理由，生成</w:t>
      </w:r>
      <w:r>
        <w:rPr>
          <w:rFonts w:hint="eastAsia" w:cs="宋体" w:asciiTheme="minorEastAsia" w:hAnsiTheme="minorEastAsia"/>
          <w:kern w:val="0"/>
          <w:szCs w:val="24"/>
        </w:rPr>
        <w:t>用药理由统计表。</w:t>
      </w:r>
    </w:p>
    <w:p w14:paraId="60FC0897">
      <w:pPr>
        <w:pStyle w:val="7"/>
        <w:numPr>
          <w:ilvl w:val="4"/>
          <w:numId w:val="16"/>
        </w:numPr>
      </w:pPr>
      <w:bookmarkStart w:id="356" w:name="_Toc443387399"/>
      <w:bookmarkStart w:id="357" w:name="_Toc423097796"/>
      <w:r>
        <w:t>自定义功能</w:t>
      </w:r>
      <w:bookmarkEnd w:id="356"/>
      <w:bookmarkEnd w:id="357"/>
    </w:p>
    <w:p w14:paraId="4E142C96">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系统</w:t>
      </w:r>
      <w:r>
        <w:rPr>
          <w:rFonts w:cs="Arial" w:asciiTheme="minorEastAsia" w:hAnsiTheme="minorEastAsia"/>
          <w:kern w:val="0"/>
          <w:szCs w:val="24"/>
        </w:rPr>
        <w:t>推出了全新的用户自定义数据库功能，包括审查结果的自主屏蔽功能与数据库自定义功能</w:t>
      </w:r>
      <w:r>
        <w:rPr>
          <w:rFonts w:hint="eastAsia" w:cs="Arial" w:asciiTheme="minorEastAsia" w:hAnsiTheme="minorEastAsia"/>
          <w:kern w:val="0"/>
          <w:szCs w:val="24"/>
        </w:rPr>
        <w:t>,</w:t>
      </w:r>
      <w:r>
        <w:rPr>
          <w:rFonts w:hint="eastAsia" w:asciiTheme="minorEastAsia" w:hAnsiTheme="minorEastAsia" w:eastAsiaTheme="minorEastAsia"/>
        </w:rPr>
        <w:t xml:space="preserve"> 具备支持以下功能：</w:t>
      </w:r>
    </w:p>
    <w:p w14:paraId="63168CC2">
      <w:pPr>
        <w:pStyle w:val="85"/>
        <w:numPr>
          <w:ilvl w:val="1"/>
          <w:numId w:val="37"/>
        </w:numPr>
        <w:spacing w:before="0"/>
        <w:jc w:val="both"/>
        <w:rPr>
          <w:rFonts w:asciiTheme="minorEastAsia" w:hAnsiTheme="minorEastAsia" w:eastAsiaTheme="minorEastAsia"/>
          <w:sz w:val="24"/>
          <w:szCs w:val="24"/>
        </w:rPr>
      </w:pPr>
      <w:r>
        <w:rPr>
          <w:rFonts w:hint="eastAsia" w:asciiTheme="minorEastAsia" w:hAnsiTheme="minorEastAsia" w:eastAsiaTheme="minorEastAsia"/>
          <w:sz w:val="24"/>
          <w:szCs w:val="24"/>
        </w:rPr>
        <w:t>问题处方（医嘱）的拦截功能</w:t>
      </w:r>
    </w:p>
    <w:p w14:paraId="77E28ED8">
      <w:pPr>
        <w:ind w:right="101" w:rightChars="42" w:firstLine="480" w:firstLineChars="200"/>
        <w:rPr>
          <w:rFonts w:cs="Arial" w:asciiTheme="minorEastAsia" w:hAnsiTheme="minorEastAsia"/>
          <w:bCs/>
          <w:kern w:val="0"/>
          <w:szCs w:val="24"/>
        </w:rPr>
      </w:pPr>
      <w:r>
        <w:rPr>
          <w:rFonts w:hint="eastAsia" w:cs="Arial" w:asciiTheme="minorEastAsia" w:hAnsiTheme="minorEastAsia"/>
          <w:bCs/>
          <w:kern w:val="0"/>
          <w:szCs w:val="24"/>
        </w:rPr>
        <w:t>为了减少药师工作量，提高审查效率，药师可自定义设置拦截规则，以避免可以硬性拦截的问题反复到药师处审查。医生必须返回修改触犯拦截规则的问题处方（医嘱），否则无法进行下一步操作。</w:t>
      </w:r>
    </w:p>
    <w:p w14:paraId="53F51C7A">
      <w:pPr>
        <w:pStyle w:val="85"/>
        <w:numPr>
          <w:ilvl w:val="1"/>
          <w:numId w:val="37"/>
        </w:numPr>
        <w:spacing w:before="0"/>
        <w:jc w:val="both"/>
        <w:rPr>
          <w:rFonts w:asciiTheme="minorEastAsia" w:hAnsiTheme="minorEastAsia" w:eastAsiaTheme="minorEastAsia"/>
          <w:sz w:val="24"/>
          <w:szCs w:val="24"/>
        </w:rPr>
      </w:pPr>
      <w:r>
        <w:rPr>
          <w:rFonts w:hint="eastAsia" w:asciiTheme="minorEastAsia" w:hAnsiTheme="minorEastAsia" w:eastAsiaTheme="minorEastAsia"/>
          <w:sz w:val="24"/>
          <w:szCs w:val="24"/>
        </w:rPr>
        <w:t>审查</w:t>
      </w:r>
      <w:r>
        <w:rPr>
          <w:rFonts w:asciiTheme="minorEastAsia" w:hAnsiTheme="minorEastAsia" w:eastAsiaTheme="minorEastAsia"/>
          <w:sz w:val="24"/>
          <w:szCs w:val="24"/>
        </w:rPr>
        <w:t>结果的屏蔽功能</w:t>
      </w:r>
    </w:p>
    <w:p w14:paraId="01B8549B">
      <w:pPr>
        <w:ind w:right="101" w:rightChars="42" w:firstLine="480" w:firstLineChars="200"/>
        <w:rPr>
          <w:rFonts w:cs="Arial" w:asciiTheme="minorEastAsia" w:hAnsiTheme="minorEastAsia"/>
          <w:kern w:val="0"/>
          <w:szCs w:val="24"/>
        </w:rPr>
      </w:pPr>
      <w:r>
        <w:rPr>
          <w:rFonts w:cs="Arial" w:asciiTheme="minorEastAsia" w:hAnsiTheme="minorEastAsia"/>
          <w:kern w:val="0"/>
          <w:szCs w:val="24"/>
        </w:rPr>
        <w:t>由于理论数据与临床实际情况的偏差，可能会导致出现假阴性和假阳性的结果。为了减少类似的无效警示，用户可以根据临床实际情况或医院管理规定，对药物相互作用、体外配伍、配伍浓度、不良反应、药物禁忌症</w:t>
      </w:r>
      <w:r>
        <w:rPr>
          <w:rFonts w:hint="eastAsia" w:cs="Arial" w:asciiTheme="minorEastAsia" w:hAnsiTheme="minorEastAsia"/>
          <w:kern w:val="0"/>
          <w:szCs w:val="24"/>
        </w:rPr>
        <w:t>、</w:t>
      </w:r>
      <w:r>
        <w:rPr>
          <w:rFonts w:cs="Arial" w:asciiTheme="minorEastAsia" w:hAnsiTheme="minorEastAsia"/>
          <w:kern w:val="0"/>
          <w:szCs w:val="24"/>
        </w:rPr>
        <w:t>剂量范围、给药途径、特殊人群（儿童、成人、老人、性别、妊娠、哺乳）用药</w:t>
      </w:r>
      <w:r>
        <w:rPr>
          <w:rFonts w:hint="eastAsia" w:cs="Arial" w:asciiTheme="minorEastAsia" w:hAnsiTheme="minorEastAsia"/>
          <w:kern w:val="0"/>
          <w:szCs w:val="24"/>
        </w:rPr>
        <w:t>、重复用药、药物过敏、检验检查申请单</w:t>
      </w:r>
      <w:r>
        <w:rPr>
          <w:rFonts w:cs="Arial" w:asciiTheme="minorEastAsia" w:hAnsiTheme="minorEastAsia"/>
          <w:kern w:val="0"/>
          <w:szCs w:val="24"/>
        </w:rPr>
        <w:t>审查等模块进行</w:t>
      </w:r>
      <w:r>
        <w:rPr>
          <w:rFonts w:hint="eastAsia" w:cs="Arial" w:asciiTheme="minorEastAsia" w:hAnsiTheme="minorEastAsia"/>
          <w:kern w:val="0"/>
          <w:szCs w:val="24"/>
        </w:rPr>
        <w:t>审查</w:t>
      </w:r>
      <w:r>
        <w:rPr>
          <w:rFonts w:cs="Arial" w:asciiTheme="minorEastAsia" w:hAnsiTheme="minorEastAsia"/>
          <w:kern w:val="0"/>
          <w:szCs w:val="24"/>
        </w:rPr>
        <w:t>结果的自主屏蔽设置</w:t>
      </w:r>
      <w:r>
        <w:rPr>
          <w:rFonts w:hint="eastAsia" w:cs="Arial" w:asciiTheme="minorEastAsia" w:hAnsiTheme="minorEastAsia"/>
          <w:kern w:val="0"/>
          <w:szCs w:val="24"/>
        </w:rPr>
        <w:t>，</w:t>
      </w:r>
      <w:r>
        <w:rPr>
          <w:rFonts w:cs="Arial" w:asciiTheme="minorEastAsia" w:hAnsiTheme="minorEastAsia"/>
          <w:kern w:val="0"/>
          <w:szCs w:val="24"/>
        </w:rPr>
        <w:t>并可按照门诊</w:t>
      </w:r>
      <w:r>
        <w:rPr>
          <w:rFonts w:hint="eastAsia" w:cs="Arial" w:asciiTheme="minorEastAsia" w:hAnsiTheme="minorEastAsia"/>
          <w:kern w:val="0"/>
          <w:szCs w:val="24"/>
        </w:rPr>
        <w:t>、</w:t>
      </w:r>
      <w:r>
        <w:rPr>
          <w:rFonts w:cs="Arial" w:asciiTheme="minorEastAsia" w:hAnsiTheme="minorEastAsia"/>
          <w:kern w:val="0"/>
          <w:szCs w:val="24"/>
        </w:rPr>
        <w:t>住院</w:t>
      </w:r>
      <w:r>
        <w:rPr>
          <w:rFonts w:hint="eastAsia" w:cs="Arial" w:asciiTheme="minorEastAsia" w:hAnsiTheme="minorEastAsia"/>
          <w:kern w:val="0"/>
          <w:szCs w:val="24"/>
        </w:rPr>
        <w:t>、</w:t>
      </w:r>
      <w:r>
        <w:rPr>
          <w:rFonts w:cs="Arial" w:asciiTheme="minorEastAsia" w:hAnsiTheme="minorEastAsia"/>
          <w:kern w:val="0"/>
          <w:szCs w:val="24"/>
        </w:rPr>
        <w:t>急诊进行屏蔽。</w:t>
      </w:r>
    </w:p>
    <w:p w14:paraId="340AAE0F">
      <w:pPr>
        <w:ind w:right="101" w:rightChars="42" w:firstLine="480" w:firstLineChars="200"/>
        <w:rPr>
          <w:rFonts w:cs="Arial" w:asciiTheme="minorEastAsia" w:hAnsiTheme="minorEastAsia"/>
          <w:kern w:val="0"/>
          <w:szCs w:val="24"/>
        </w:rPr>
      </w:pPr>
      <w:r>
        <w:rPr>
          <w:rFonts w:cs="Arial" w:asciiTheme="minorEastAsia" w:hAnsiTheme="minorEastAsia"/>
          <w:kern w:val="0"/>
          <w:szCs w:val="24"/>
        </w:rPr>
        <w:t>在对某药品的某一问题进行屏蔽设置之后，</w:t>
      </w:r>
      <w:r>
        <w:rPr>
          <w:rFonts w:hint="eastAsia" w:cs="Arial" w:asciiTheme="minorEastAsia" w:hAnsiTheme="minorEastAsia"/>
          <w:kern w:val="0"/>
          <w:szCs w:val="24"/>
        </w:rPr>
        <w:t>系统</w:t>
      </w:r>
      <w:r>
        <w:rPr>
          <w:rFonts w:cs="Arial" w:asciiTheme="minorEastAsia" w:hAnsiTheme="minorEastAsia"/>
          <w:kern w:val="0"/>
          <w:szCs w:val="24"/>
        </w:rPr>
        <w:t>将不会再对问题涉及的药品进行审查，亦不会弹出警示信息，并且屏蔽后的警示结果不会再计入以后的统计数据中。同时能够进行的操作还包括取消屏蔽和查看屏蔽操作日志，便于追溯问题。</w:t>
      </w:r>
    </w:p>
    <w:p w14:paraId="38635338">
      <w:pPr>
        <w:pStyle w:val="85"/>
        <w:numPr>
          <w:ilvl w:val="1"/>
          <w:numId w:val="37"/>
        </w:numPr>
        <w:spacing w:before="0"/>
        <w:jc w:val="both"/>
        <w:rPr>
          <w:rFonts w:asciiTheme="minorEastAsia" w:hAnsiTheme="minorEastAsia" w:eastAsiaTheme="minorEastAsia"/>
          <w:sz w:val="24"/>
          <w:szCs w:val="24"/>
        </w:rPr>
      </w:pPr>
      <w:r>
        <w:rPr>
          <w:rFonts w:asciiTheme="minorEastAsia" w:hAnsiTheme="minorEastAsia" w:eastAsiaTheme="minorEastAsia"/>
          <w:sz w:val="24"/>
          <w:szCs w:val="24"/>
        </w:rPr>
        <w:t>自定义数据库功能</w:t>
      </w:r>
    </w:p>
    <w:p w14:paraId="128F5DB3">
      <w:pPr>
        <w:ind w:right="101" w:rightChars="42" w:firstLine="480" w:firstLineChars="200"/>
        <w:rPr>
          <w:rFonts w:cs="Arial" w:asciiTheme="minorEastAsia" w:hAnsiTheme="minorEastAsia"/>
          <w:kern w:val="0"/>
          <w:szCs w:val="24"/>
        </w:rPr>
      </w:pPr>
      <w:r>
        <w:rPr>
          <w:rFonts w:cs="Arial" w:asciiTheme="minorEastAsia" w:hAnsiTheme="minorEastAsia"/>
          <w:kern w:val="0"/>
          <w:szCs w:val="24"/>
        </w:rPr>
        <w:t>用户可以通过该功能对所有药品进行警示数据的新增、修改和删除。</w:t>
      </w:r>
    </w:p>
    <w:p w14:paraId="0E95789E">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剂量范围</w:t>
      </w:r>
    </w:p>
    <w:p w14:paraId="46D1CDBE">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用户可以通过该功能对所有在用药品的次剂量、日剂量、给药频次、用药天数、疗程总剂量进行设置，每个审查点可分别设置应用效果。</w:t>
      </w:r>
    </w:p>
    <w:p w14:paraId="672276C0">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中药饮片剂量</w:t>
      </w:r>
    </w:p>
    <w:p w14:paraId="10F5FC4B">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用户可以通过该功能批量设置中药饮片的每剂推荐量高值、低值和限制量，支持以系统审查数据的整数倍分别自定义设置中药饮片剂量标准高值和低值，还可针对不同医生、科室设置每剂用量审查规则。</w:t>
      </w:r>
      <w:bookmarkStart w:id="358" w:name="_Hlk72936240"/>
      <w:r>
        <w:rPr>
          <w:rFonts w:hint="eastAsia" w:cs="Arial" w:asciiTheme="minorEastAsia" w:hAnsiTheme="minorEastAsia"/>
          <w:kern w:val="0"/>
          <w:szCs w:val="24"/>
        </w:rPr>
        <w:t>可设置中药膏方是否参与剂量审查。</w:t>
      </w:r>
      <w:bookmarkEnd w:id="358"/>
    </w:p>
    <w:p w14:paraId="10970B2C">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肝损害剂量</w:t>
      </w:r>
    </w:p>
    <w:p w14:paraId="66C0E68E">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用户可以通过该功能对肝功能不全患者用药的次剂量、日剂量、给药频次进行设置，每个审查点可分别设置应用效果。</w:t>
      </w:r>
    </w:p>
    <w:p w14:paraId="0C7DA97C">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肾损害剂量</w:t>
      </w:r>
    </w:p>
    <w:p w14:paraId="3E56EE05">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用户可以通过该功能对肾功能不全患者用药的次剂量、日剂量、给药频次进行设置，每个审查点可分别设置应用效果。</w:t>
      </w:r>
    </w:p>
    <w:p w14:paraId="1DF04919">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超多日用量</w:t>
      </w:r>
    </w:p>
    <w:p w14:paraId="1325D8F3">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对门、急诊处方药品、麻醉药品、精一药品以及慢性病患者、出院患者带药药品超多日用量天数进行设置，其中慢性病患者门、急诊超多日用量天数可根据付费方式（自费/医保）分别设置，并可根据超出天数设置不同的警示级别，当医生开具的药品用量天数超出设置范围时，系统将发出警告提醒医生。</w:t>
      </w:r>
    </w:p>
    <w:p w14:paraId="5DC2B0CA">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累积剂量</w:t>
      </w:r>
    </w:p>
    <w:p w14:paraId="597D3363">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用户可以对患者当次住院、多次住院、历次门急诊和住院、每日的药品累积剂量上限进行设置，当医生开具医嘱药品累积用量超出设置上限时，系统将发出警告提醒医生。</w:t>
      </w:r>
    </w:p>
    <w:p w14:paraId="4ECCA306">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给药途径</w:t>
      </w:r>
    </w:p>
    <w:p w14:paraId="6C624502">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用户可以通过该功能设置药品的不可用给药途径，当医生开具的药品给药途径不恰当时，系统将发出警告提醒医生。还可对问题的警示级别、警示信息进行设置。</w:t>
      </w:r>
    </w:p>
    <w:p w14:paraId="6BA90D26">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相互作用</w:t>
      </w:r>
    </w:p>
    <w:p w14:paraId="06620753">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用户可以通过该功能设置，两个药品同时使用时会出现相互作用问题，并能对问题的警示级别、警示信息进行设置。</w:t>
      </w:r>
    </w:p>
    <w:p w14:paraId="182788BB">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支持用户设置结合X（0≤X≤7）日内的历史处方参与相互作用审查。</w:t>
      </w:r>
    </w:p>
    <w:p w14:paraId="1E4DC5B7">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体外配伍</w:t>
      </w:r>
    </w:p>
    <w:p w14:paraId="64CDA7FC">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用户可以通过该功能设置两药或多药配伍使用时需要警示的规则及问题的警示级别、警示信息，可设置药品的推荐溶媒、必须用溶媒稀释的药品，还可按照药物品种设置体外配伍审查规则。</w:t>
      </w:r>
    </w:p>
    <w:p w14:paraId="5DA22685">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配伍浓度</w:t>
      </w:r>
    </w:p>
    <w:p w14:paraId="6C74516A">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用户可以通过该功能设置配伍后的药品推荐浓度、限制浓度、推荐溶媒量、限制溶媒量及警示信息，还可设置结合给药途径进行审查。</w:t>
      </w:r>
    </w:p>
    <w:p w14:paraId="75C55754">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钾离子监测</w:t>
      </w:r>
    </w:p>
    <w:p w14:paraId="16C7DC51">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用户可以通过该功能对钾离子滴速、推荐浓度范围、限制浓度范围、每日补钾量范围进行设置。当系统自动计算后发现钾离子滴速、总浓度、每日补钾量超出设置范围时，系统将发出警告提醒医生。</w:t>
      </w:r>
    </w:p>
    <w:p w14:paraId="01356E9E">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TPN审查</w:t>
      </w:r>
    </w:p>
    <w:p w14:paraId="03835B19">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通过该功能分科室对TPN审查规则中糖脂比、热氮比、补液量、渗透压、离子浓度、氨基酸浓度、葡萄糖浓度等重要参数进行设置。可设置TPN处方中热量、氨基酸量、糖脂比、热氮比、补液量的审查方式，按组或按日审查。</w:t>
      </w:r>
    </w:p>
    <w:p w14:paraId="06F52587">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特殊人群用药</w:t>
      </w:r>
    </w:p>
    <w:p w14:paraId="13754B52">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用户可以通过该功能对儿童、成人、老人、妊娠期、哺乳期、不同性别患者禁用或慎用的药品以及问题的警示级别、警示信息进行设置。还可以自定义设置儿童、成人、老人年龄值。</w:t>
      </w:r>
    </w:p>
    <w:p w14:paraId="5CB419D5">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禁忌症</w:t>
      </w:r>
    </w:p>
    <w:p w14:paraId="0CE44C62">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用户可以通过该功能设置药品的禁忌症，当医生开具的药品禁忌症与病人诊断相符时，系统将发出警告提醒医生。还可对问题的警示级别、警示信息进行设置。</w:t>
      </w:r>
    </w:p>
    <w:p w14:paraId="27032C3D">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不良反应</w:t>
      </w:r>
    </w:p>
    <w:p w14:paraId="7B5B6030">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用户可以通过该功能设置药品的不良反应，当医生开具的药品的不良反应与病人诊断相符时，系统将发出警告提醒医生。还可对问题的警示级别、警示信息进行设置。</w:t>
      </w:r>
    </w:p>
    <w:p w14:paraId="6480B9CE">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门诊输液</w:t>
      </w:r>
    </w:p>
    <w:p w14:paraId="08E80AAE">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用户可以对门诊输液药品限制使用的科室和疾病进行设置，当医生开具门诊处方输液药品超出可使用的科室和适应症时，系统将发出警告提醒医生。</w:t>
      </w:r>
    </w:p>
    <w:p w14:paraId="5F6E5664">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药物检验值</w:t>
      </w:r>
    </w:p>
    <w:p w14:paraId="3ECAF3EE">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用户可以通过该功能设置药品与患者检验值的不可用关系，当患者检验值在设置范围内，系统将发出警告提醒医生该患者不适宜用该药品，</w:t>
      </w:r>
      <w:r>
        <w:rPr>
          <w:rFonts w:cs="Arial" w:asciiTheme="minorEastAsia" w:hAnsiTheme="minorEastAsia"/>
          <w:kern w:val="0"/>
          <w:szCs w:val="24"/>
        </w:rPr>
        <w:t>可能需要调整病人的药物治疗方案</w:t>
      </w:r>
      <w:r>
        <w:rPr>
          <w:rFonts w:hint="eastAsia" w:cs="Arial" w:asciiTheme="minorEastAsia" w:hAnsiTheme="minorEastAsia"/>
          <w:kern w:val="0"/>
          <w:szCs w:val="24"/>
        </w:rPr>
        <w:t>。</w:t>
      </w:r>
    </w:p>
    <w:p w14:paraId="040C0AAD">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超适应症</w:t>
      </w:r>
    </w:p>
    <w:p w14:paraId="38C89C10">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用户可以通过该功能设置药品/品种适应症以及不可用的疾病。</w:t>
      </w:r>
    </w:p>
    <w:p w14:paraId="4CBB01B6">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用户可设置在指定检验检查项目、检验结果范围内或与特定药品/品种联用时不属于超适应症用药的规则。</w:t>
      </w:r>
    </w:p>
    <w:p w14:paraId="6D77E402">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科室、</w:t>
      </w:r>
      <w:r>
        <w:rPr>
          <w:rFonts w:cs="Arial" w:asciiTheme="minorEastAsia" w:hAnsiTheme="minorEastAsia"/>
          <w:kern w:val="0"/>
          <w:szCs w:val="24"/>
        </w:rPr>
        <w:t>医生、患者权限</w:t>
      </w:r>
    </w:p>
    <w:p w14:paraId="0EA682F6">
      <w:pPr>
        <w:ind w:right="101" w:rightChars="42" w:firstLine="480" w:firstLineChars="200"/>
        <w:rPr>
          <w:rFonts w:cs="Arial" w:asciiTheme="minorEastAsia" w:hAnsiTheme="minorEastAsia"/>
          <w:kern w:val="0"/>
          <w:szCs w:val="24"/>
        </w:rPr>
      </w:pPr>
      <w:r>
        <w:rPr>
          <w:rFonts w:cs="Arial" w:asciiTheme="minorEastAsia" w:hAnsiTheme="minorEastAsia"/>
          <w:kern w:val="0"/>
          <w:szCs w:val="24"/>
        </w:rPr>
        <w:t>用户可以通过该功能对医疗机构内的医生</w:t>
      </w:r>
      <w:r>
        <w:rPr>
          <w:rFonts w:hint="eastAsia" w:cs="Arial" w:asciiTheme="minorEastAsia" w:hAnsiTheme="minorEastAsia"/>
          <w:kern w:val="0"/>
          <w:szCs w:val="24"/>
        </w:rPr>
        <w:t>/医生组、科室/科室组有权和</w:t>
      </w:r>
      <w:r>
        <w:rPr>
          <w:rFonts w:cs="Arial" w:asciiTheme="minorEastAsia" w:hAnsiTheme="minorEastAsia"/>
          <w:kern w:val="0"/>
          <w:szCs w:val="24"/>
        </w:rPr>
        <w:t>无权使用的药品清单进行新增、修改和删除。通过对有处方权的医生</w:t>
      </w:r>
      <w:r>
        <w:rPr>
          <w:rFonts w:hint="eastAsia" w:cs="Arial" w:asciiTheme="minorEastAsia" w:hAnsiTheme="minorEastAsia"/>
          <w:kern w:val="0"/>
          <w:szCs w:val="24"/>
        </w:rPr>
        <w:t>/医生组、科室</w:t>
      </w:r>
      <w:r>
        <w:rPr>
          <w:rFonts w:cs="Arial" w:asciiTheme="minorEastAsia" w:hAnsiTheme="minorEastAsia"/>
          <w:kern w:val="0"/>
          <w:szCs w:val="24"/>
        </w:rPr>
        <w:t>与药品的</w:t>
      </w:r>
      <w:r>
        <w:rPr>
          <w:rFonts w:hint="eastAsia" w:cs="Arial" w:asciiTheme="minorEastAsia" w:hAnsiTheme="minorEastAsia"/>
          <w:kern w:val="0"/>
          <w:szCs w:val="24"/>
        </w:rPr>
        <w:t>使用</w:t>
      </w:r>
      <w:r>
        <w:rPr>
          <w:rFonts w:cs="Arial" w:asciiTheme="minorEastAsia" w:hAnsiTheme="minorEastAsia"/>
          <w:kern w:val="0"/>
          <w:szCs w:val="24"/>
        </w:rPr>
        <w:t>关系的设置，规定</w:t>
      </w:r>
      <w:r>
        <w:rPr>
          <w:rFonts w:hint="eastAsia" w:cs="Arial" w:asciiTheme="minorEastAsia" w:hAnsiTheme="minorEastAsia"/>
          <w:kern w:val="0"/>
          <w:szCs w:val="24"/>
        </w:rPr>
        <w:t>科室、</w:t>
      </w:r>
      <w:r>
        <w:rPr>
          <w:rFonts w:cs="Arial" w:asciiTheme="minorEastAsia" w:hAnsiTheme="minorEastAsia"/>
          <w:kern w:val="0"/>
          <w:szCs w:val="24"/>
        </w:rPr>
        <w:t>医生</w:t>
      </w:r>
      <w:r>
        <w:rPr>
          <w:rFonts w:hint="eastAsia" w:cs="Arial" w:asciiTheme="minorEastAsia" w:hAnsiTheme="minorEastAsia"/>
          <w:kern w:val="0"/>
          <w:szCs w:val="24"/>
        </w:rPr>
        <w:t>/医生组</w:t>
      </w:r>
      <w:r>
        <w:rPr>
          <w:rFonts w:cs="Arial" w:asciiTheme="minorEastAsia" w:hAnsiTheme="minorEastAsia"/>
          <w:kern w:val="0"/>
          <w:szCs w:val="24"/>
        </w:rPr>
        <w:t>开具特殊药品（毒、麻、精、兴、放等）的权限。当出现越权用药的情况时，系统将发出警告提醒医生可能需要调整病人的药物治疗方案。</w:t>
      </w:r>
    </w:p>
    <w:p w14:paraId="34E2B9BC">
      <w:pPr>
        <w:ind w:right="101" w:rightChars="42" w:firstLine="480" w:firstLineChars="200"/>
        <w:rPr>
          <w:rFonts w:cs="Arial" w:asciiTheme="minorEastAsia" w:hAnsiTheme="minorEastAsia"/>
          <w:kern w:val="0"/>
          <w:szCs w:val="24"/>
        </w:rPr>
      </w:pPr>
      <w:r>
        <w:rPr>
          <w:rFonts w:cs="Arial" w:asciiTheme="minorEastAsia" w:hAnsiTheme="minorEastAsia"/>
          <w:kern w:val="0"/>
          <w:szCs w:val="24"/>
        </w:rPr>
        <w:t>用户可针对</w:t>
      </w:r>
      <w:r>
        <w:rPr>
          <w:rFonts w:hint="eastAsia" w:cs="Arial" w:asciiTheme="minorEastAsia" w:hAnsiTheme="minorEastAsia"/>
          <w:kern w:val="0"/>
          <w:szCs w:val="24"/>
        </w:rPr>
        <w:t>特定</w:t>
      </w:r>
      <w:r>
        <w:rPr>
          <w:rFonts w:cs="Arial" w:asciiTheme="minorEastAsia" w:hAnsiTheme="minorEastAsia"/>
          <w:kern w:val="0"/>
          <w:szCs w:val="24"/>
        </w:rPr>
        <w:t>药品设置患者权限</w:t>
      </w:r>
      <w:r>
        <w:rPr>
          <w:rFonts w:hint="eastAsia" w:cs="Arial" w:asciiTheme="minorEastAsia" w:hAnsiTheme="minorEastAsia"/>
          <w:kern w:val="0"/>
          <w:szCs w:val="24"/>
        </w:rPr>
        <w:t>白名单</w:t>
      </w:r>
      <w:r>
        <w:rPr>
          <w:rFonts w:cs="Arial" w:asciiTheme="minorEastAsia" w:hAnsiTheme="minorEastAsia"/>
          <w:kern w:val="0"/>
          <w:szCs w:val="24"/>
        </w:rPr>
        <w:t>，实现对临采药品的使用管控。</w:t>
      </w:r>
    </w:p>
    <w:p w14:paraId="7C002313">
      <w:pPr>
        <w:ind w:right="101" w:rightChars="42" w:firstLine="480" w:firstLineChars="200"/>
        <w:rPr>
          <w:rFonts w:cs="Arial" w:asciiTheme="minorEastAsia" w:hAnsiTheme="minorEastAsia"/>
          <w:kern w:val="0"/>
          <w:szCs w:val="24"/>
        </w:rPr>
      </w:pPr>
      <w:r>
        <w:rPr>
          <w:rFonts w:cs="Arial" w:asciiTheme="minorEastAsia" w:hAnsiTheme="minorEastAsia"/>
          <w:kern w:val="0"/>
          <w:szCs w:val="24"/>
        </w:rPr>
        <w:t>用户可设置</w:t>
      </w:r>
      <w:r>
        <w:rPr>
          <w:rFonts w:hint="eastAsia" w:cs="Arial" w:asciiTheme="minorEastAsia" w:hAnsiTheme="minorEastAsia"/>
          <w:kern w:val="0"/>
          <w:szCs w:val="24"/>
        </w:rPr>
        <w:t>是否</w:t>
      </w:r>
      <w:r>
        <w:rPr>
          <w:rFonts w:cs="Arial" w:asciiTheme="minorEastAsia" w:hAnsiTheme="minorEastAsia"/>
          <w:kern w:val="0"/>
          <w:szCs w:val="24"/>
        </w:rPr>
        <w:t>允许住院医生越权开具不超过一日量的特殊级抗菌药物。</w:t>
      </w:r>
    </w:p>
    <w:p w14:paraId="14FC35CD">
      <w:pPr>
        <w:ind w:right="101" w:rightChars="42" w:firstLine="480" w:firstLineChars="200"/>
        <w:rPr>
          <w:rFonts w:cs="Arial" w:asciiTheme="minorEastAsia" w:hAnsiTheme="minorEastAsia"/>
          <w:kern w:val="0"/>
          <w:szCs w:val="24"/>
        </w:rPr>
      </w:pPr>
      <w:r>
        <w:rPr>
          <w:rFonts w:cs="Arial" w:asciiTheme="minorEastAsia" w:hAnsiTheme="minorEastAsia"/>
          <w:kern w:val="0"/>
          <w:szCs w:val="24"/>
        </w:rPr>
        <w:t>围术期警示</w:t>
      </w:r>
    </w:p>
    <w:p w14:paraId="2AE0F5AD">
      <w:pPr>
        <w:ind w:right="101" w:rightChars="42" w:firstLine="480" w:firstLineChars="200"/>
        <w:rPr>
          <w:rFonts w:cs="Arial" w:asciiTheme="minorEastAsia" w:hAnsiTheme="minorEastAsia"/>
          <w:kern w:val="0"/>
          <w:szCs w:val="24"/>
        </w:rPr>
      </w:pPr>
      <w:r>
        <w:rPr>
          <w:rFonts w:cs="Arial" w:asciiTheme="minorEastAsia" w:hAnsiTheme="minorEastAsia"/>
          <w:kern w:val="0"/>
          <w:szCs w:val="24"/>
        </w:rPr>
        <w:t>用户可以通过该功能对围术期不可预防使用抗菌药物的手术、某手术与药品的可用关系、某手术与药品使用时间的关系进行设置。若在处方（医嘱）中超出医院规定的设置，如：使用了不可在围术期内预防使用的抗菌药物，超出医院的规定在围术期使用了不符合手术要求的抗菌药物品种，手术使用抗菌药物的累计时长超限等情况，系统均会发出警告提示围术期用药不合理，可能需要调整用药方案。</w:t>
      </w:r>
    </w:p>
    <w:p w14:paraId="6E73D3D5">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重复用药</w:t>
      </w:r>
    </w:p>
    <w:p w14:paraId="682CC955">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用户可以根据系统提供的治疗分类设置每一类药物在同一处方（医嘱）中可以同时使用的药品数量，还可自行增加治疗分类并维护各分类项下的药品目录</w:t>
      </w:r>
      <w:bookmarkStart w:id="359" w:name="_Hlk72936403"/>
      <w:r>
        <w:rPr>
          <w:rFonts w:hint="eastAsia" w:cs="Arial" w:asciiTheme="minorEastAsia" w:hAnsiTheme="minorEastAsia"/>
          <w:kern w:val="0"/>
          <w:szCs w:val="24"/>
        </w:rPr>
        <w:t>，并能对问题的警示级别、警示信息进行设置</w:t>
      </w:r>
      <w:bookmarkEnd w:id="359"/>
      <w:r>
        <w:rPr>
          <w:rFonts w:hint="eastAsia" w:cs="Arial" w:asciiTheme="minorEastAsia" w:hAnsiTheme="minorEastAsia"/>
          <w:kern w:val="0"/>
          <w:szCs w:val="24"/>
        </w:rPr>
        <w:t>。可以结合给药途径、给药频次、用药备注等条件设置重复用药豁免条件，当处方（医嘱）满足豁免条件时，指定药品之间不属于重复用药。</w:t>
      </w:r>
    </w:p>
    <w:p w14:paraId="148F8692">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住院医嘱可设置住院药品与审查时间有交叉才审查。</w:t>
      </w:r>
    </w:p>
    <w:p w14:paraId="73B4B8AB">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支持用户设置结合X（0≤X≤7）日内的历史处方参与重复用药审查。</w:t>
      </w:r>
    </w:p>
    <w:p w14:paraId="41E24821">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药物过敏</w:t>
      </w:r>
    </w:p>
    <w:p w14:paraId="251AF73C">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用户可以对药品与过敏原对应关系进行设置，当患者历史过敏信息中的过敏原与医生处方药品符合对应关系时，系统将发出警告提醒医生。</w:t>
      </w:r>
    </w:p>
    <w:p w14:paraId="4176EE88">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规范性审查</w:t>
      </w:r>
    </w:p>
    <w:p w14:paraId="7AD9CB84">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设置具体的审核规则是否开启、是否开启拦截以及生效范围。用户可设定年龄、诊断、剂量相关的参数，可结合年龄、药品对必须填写身高、体重的情况进行设置，还可设置临床诊断书写不规范审查的豁免科室。</w:t>
      </w:r>
    </w:p>
    <w:p w14:paraId="1DBFA0B9">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医保审查</w:t>
      </w:r>
    </w:p>
    <w:p w14:paraId="55D421C6">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用户可以设置具体的医保规则是否开启审查、是否开启拦截。</w:t>
      </w:r>
    </w:p>
    <w:p w14:paraId="382325A9">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监测指标</w:t>
      </w:r>
    </w:p>
    <w:p w14:paraId="40B79E5E">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用户可以设置住院病人使用某药品时需监测的指标，还可设置问题的警示级别和警示信息。</w:t>
      </w:r>
    </w:p>
    <w:p w14:paraId="46CAFAA7">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自由自定义</w:t>
      </w:r>
    </w:p>
    <w:p w14:paraId="3F78D4E5">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用户可以根据药品管理需要，通过可视化自定义工具选择审查要素，新建多条件、复杂条件的审查逻辑。</w:t>
      </w:r>
    </w:p>
    <w:p w14:paraId="48940D0B">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药品专项管控</w:t>
      </w:r>
    </w:p>
    <w:p w14:paraId="43CB083F">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根据本院实际情况，设置应激性溃疡风险预警规则，包括疾病名称、患者年龄、疾病状态或疾病史、联用药品、INR值等参数；设置手术是否可以预防使用PPI、手术预防使用的PPI药品品种以及术后PPI用药疗程。</w:t>
      </w:r>
    </w:p>
    <w:p w14:paraId="3C226885">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用户可以根据本院规定，维护中药协定方组成（中药名、剂量、剂量单位）及主治。</w:t>
      </w:r>
    </w:p>
    <w:p w14:paraId="5183F777">
      <w:pPr>
        <w:ind w:right="101" w:rightChars="42" w:firstLine="480" w:firstLineChars="200"/>
        <w:rPr>
          <w:rFonts w:cs="Arial" w:asciiTheme="minorEastAsia" w:hAnsiTheme="minorEastAsia"/>
          <w:szCs w:val="24"/>
        </w:rPr>
      </w:pPr>
      <w:r>
        <w:rPr>
          <w:rFonts w:hint="eastAsia" w:cs="Arial" w:asciiTheme="minorEastAsia" w:hAnsiTheme="minorEastAsia"/>
          <w:kern w:val="0"/>
          <w:szCs w:val="24"/>
        </w:rPr>
        <w:t>用户可以根据本院实际情况，设置紫</w:t>
      </w:r>
      <w:r>
        <w:rPr>
          <w:rFonts w:hint="eastAsia" w:cs="Arial" w:asciiTheme="minorEastAsia" w:hAnsiTheme="minorEastAsia"/>
          <w:szCs w:val="24"/>
        </w:rPr>
        <w:t>杉醇、紫杉醇脂质体、多西他赛过敏反应预处理药品品种。</w:t>
      </w:r>
    </w:p>
    <w:p w14:paraId="1BF1EC9B">
      <w:pPr>
        <w:ind w:right="101" w:rightChars="42" w:firstLine="482"/>
        <w:rPr>
          <w:rFonts w:cs="Arial" w:asciiTheme="minorEastAsia" w:hAnsiTheme="minorEastAsia"/>
          <w:szCs w:val="24"/>
        </w:rPr>
      </w:pPr>
      <w:r>
        <w:rPr>
          <w:rFonts w:hint="eastAsia" w:cs="Arial" w:asciiTheme="minorEastAsia" w:hAnsiTheme="minorEastAsia"/>
          <w:szCs w:val="24"/>
        </w:rPr>
        <w:t>用户还可设置规则生效范围以及是否对医生拦截等。</w:t>
      </w:r>
    </w:p>
    <w:p w14:paraId="2F12871E">
      <w:pPr>
        <w:pStyle w:val="85"/>
        <w:numPr>
          <w:ilvl w:val="1"/>
          <w:numId w:val="37"/>
        </w:numPr>
        <w:spacing w:before="0"/>
        <w:jc w:val="both"/>
        <w:rPr>
          <w:rFonts w:asciiTheme="minorEastAsia" w:hAnsiTheme="minorEastAsia" w:eastAsiaTheme="minorEastAsia"/>
          <w:sz w:val="24"/>
          <w:szCs w:val="24"/>
        </w:rPr>
      </w:pPr>
      <w:r>
        <w:rPr>
          <w:rFonts w:hint="eastAsia" w:asciiTheme="minorEastAsia" w:hAnsiTheme="minorEastAsia" w:eastAsiaTheme="minorEastAsia"/>
          <w:sz w:val="24"/>
          <w:szCs w:val="24"/>
        </w:rPr>
        <w:t>规则复制功能</w:t>
      </w:r>
    </w:p>
    <w:p w14:paraId="4BBD5B8D">
      <w:pPr>
        <w:ind w:right="101" w:rightChars="42" w:firstLine="480" w:firstLineChars="200"/>
        <w:rPr>
          <w:rFonts w:cs="Arial" w:asciiTheme="minorEastAsia" w:hAnsiTheme="minorEastAsia"/>
          <w:bCs/>
          <w:kern w:val="0"/>
          <w:szCs w:val="24"/>
        </w:rPr>
      </w:pPr>
      <w:r>
        <w:rPr>
          <w:rFonts w:hint="eastAsia" w:cs="Arial" w:asciiTheme="minorEastAsia" w:hAnsiTheme="minorEastAsia"/>
          <w:bCs/>
          <w:kern w:val="0"/>
          <w:szCs w:val="24"/>
        </w:rPr>
        <w:t>用户可以按照模块进行自定义规则复制。用户可自由选择需要复制自定义规则的药品以及被复制对象来完成复制操作。</w:t>
      </w:r>
    </w:p>
    <w:p w14:paraId="6D71D552">
      <w:pPr>
        <w:pStyle w:val="85"/>
        <w:numPr>
          <w:ilvl w:val="1"/>
          <w:numId w:val="37"/>
        </w:numPr>
        <w:spacing w:before="0"/>
        <w:jc w:val="both"/>
        <w:rPr>
          <w:rFonts w:asciiTheme="minorEastAsia" w:hAnsiTheme="minorEastAsia" w:eastAsiaTheme="minorEastAsia"/>
          <w:sz w:val="24"/>
          <w:szCs w:val="24"/>
        </w:rPr>
      </w:pPr>
      <w:r>
        <w:rPr>
          <w:rFonts w:hint="eastAsia" w:asciiTheme="minorEastAsia" w:hAnsiTheme="minorEastAsia" w:eastAsiaTheme="minorEastAsia"/>
          <w:sz w:val="24"/>
          <w:szCs w:val="24"/>
        </w:rPr>
        <w:t>豁免对象设置功能</w:t>
      </w:r>
    </w:p>
    <w:p w14:paraId="167F7FF6">
      <w:pPr>
        <w:ind w:right="101" w:rightChars="42" w:firstLine="480" w:firstLineChars="200"/>
        <w:rPr>
          <w:rFonts w:cs="Arial" w:asciiTheme="minorEastAsia" w:hAnsiTheme="minorEastAsia"/>
          <w:bCs/>
          <w:kern w:val="0"/>
          <w:szCs w:val="24"/>
        </w:rPr>
      </w:pPr>
      <w:r>
        <w:rPr>
          <w:rFonts w:hint="eastAsia" w:cs="Arial" w:asciiTheme="minorEastAsia" w:hAnsiTheme="minorEastAsia"/>
          <w:bCs/>
          <w:kern w:val="0"/>
          <w:szCs w:val="24"/>
        </w:rPr>
        <w:t>用户可以根据科室、医生、药品的单一或组合条件设置豁免审查项目，豁免后医生端将不再出现符合豁免条件的警示结果。用户还可对所设置的豁免情况进行汇总查询。</w:t>
      </w:r>
    </w:p>
    <w:p w14:paraId="53177E7C">
      <w:pPr>
        <w:pStyle w:val="85"/>
        <w:numPr>
          <w:ilvl w:val="1"/>
          <w:numId w:val="37"/>
        </w:numPr>
        <w:spacing w:before="0"/>
        <w:jc w:val="both"/>
        <w:rPr>
          <w:rFonts w:asciiTheme="minorEastAsia" w:hAnsiTheme="minorEastAsia" w:eastAsiaTheme="minorEastAsia"/>
          <w:sz w:val="24"/>
          <w:szCs w:val="24"/>
        </w:rPr>
      </w:pPr>
      <w:r>
        <w:rPr>
          <w:rFonts w:hint="eastAsia" w:asciiTheme="minorEastAsia" w:hAnsiTheme="minorEastAsia" w:eastAsiaTheme="minorEastAsia"/>
          <w:sz w:val="24"/>
          <w:szCs w:val="24"/>
        </w:rPr>
        <w:t>自定义规则查询</w:t>
      </w:r>
    </w:p>
    <w:p w14:paraId="440D012C">
      <w:pPr>
        <w:ind w:right="101" w:rightChars="42" w:firstLine="480" w:firstLineChars="200"/>
        <w:rPr>
          <w:rFonts w:cs="Arial" w:asciiTheme="minorEastAsia" w:hAnsiTheme="minorEastAsia"/>
          <w:bCs/>
          <w:kern w:val="0"/>
          <w:szCs w:val="24"/>
        </w:rPr>
      </w:pPr>
      <w:r>
        <w:rPr>
          <w:rFonts w:hint="eastAsia" w:cs="Arial" w:asciiTheme="minorEastAsia" w:hAnsiTheme="minorEastAsia"/>
          <w:bCs/>
          <w:kern w:val="0"/>
          <w:szCs w:val="24"/>
        </w:rPr>
        <w:t>用户可按照药品、科室、生效范围、审查模块查询自定义数据。</w:t>
      </w:r>
    </w:p>
    <w:p w14:paraId="375A496D">
      <w:pPr>
        <w:pStyle w:val="85"/>
        <w:numPr>
          <w:ilvl w:val="1"/>
          <w:numId w:val="37"/>
        </w:numPr>
        <w:spacing w:before="0"/>
        <w:jc w:val="both"/>
        <w:rPr>
          <w:rFonts w:asciiTheme="minorEastAsia" w:hAnsiTheme="minorEastAsia" w:eastAsiaTheme="minorEastAsia"/>
          <w:sz w:val="24"/>
          <w:szCs w:val="24"/>
        </w:rPr>
      </w:pPr>
      <w:r>
        <w:rPr>
          <w:rFonts w:asciiTheme="minorEastAsia" w:hAnsiTheme="minorEastAsia" w:eastAsiaTheme="minorEastAsia"/>
          <w:sz w:val="24"/>
          <w:szCs w:val="24"/>
        </w:rPr>
        <w:t>自定义</w:t>
      </w:r>
      <w:r>
        <w:rPr>
          <w:rFonts w:hint="eastAsia" w:asciiTheme="minorEastAsia" w:hAnsiTheme="minorEastAsia" w:eastAsiaTheme="minorEastAsia"/>
          <w:sz w:val="24"/>
          <w:szCs w:val="24"/>
        </w:rPr>
        <w:t>工作量统计</w:t>
      </w:r>
      <w:r>
        <w:rPr>
          <w:rFonts w:asciiTheme="minorEastAsia" w:hAnsiTheme="minorEastAsia" w:eastAsiaTheme="minorEastAsia"/>
          <w:sz w:val="24"/>
          <w:szCs w:val="24"/>
        </w:rPr>
        <w:t>功能</w:t>
      </w:r>
    </w:p>
    <w:p w14:paraId="0F2B68F0">
      <w:pPr>
        <w:ind w:right="101" w:rightChars="42" w:firstLine="470" w:firstLineChars="196"/>
        <w:rPr>
          <w:rFonts w:cs="Arial" w:asciiTheme="minorEastAsia" w:hAnsiTheme="minorEastAsia"/>
          <w:kern w:val="0"/>
          <w:szCs w:val="24"/>
        </w:rPr>
      </w:pPr>
      <w:r>
        <w:rPr>
          <w:rFonts w:hint="eastAsia" w:cs="Arial" w:asciiTheme="minorEastAsia" w:hAnsiTheme="minorEastAsia"/>
          <w:bCs/>
          <w:kern w:val="0"/>
          <w:szCs w:val="24"/>
        </w:rPr>
        <w:t>系统能够对知识库自定义工作量进行全面统计，</w:t>
      </w:r>
      <w:r>
        <w:rPr>
          <w:rFonts w:cs="Arial" w:asciiTheme="minorEastAsia" w:hAnsiTheme="minorEastAsia"/>
          <w:bCs/>
          <w:kern w:val="0"/>
          <w:szCs w:val="24"/>
        </w:rPr>
        <w:t>系统能够生成统计报表，并提供导出（</w:t>
      </w:r>
      <w:r>
        <w:rPr>
          <w:rFonts w:hint="eastAsia" w:cs="Arial" w:asciiTheme="minorEastAsia" w:hAnsiTheme="minorEastAsia"/>
          <w:bCs/>
          <w:kern w:val="0"/>
          <w:szCs w:val="24"/>
        </w:rPr>
        <w:t>EXCEL格式）</w:t>
      </w:r>
      <w:r>
        <w:rPr>
          <w:rFonts w:cs="Arial" w:asciiTheme="minorEastAsia" w:hAnsiTheme="minorEastAsia"/>
          <w:bCs/>
          <w:kern w:val="0"/>
          <w:szCs w:val="24"/>
        </w:rPr>
        <w:t>功能</w:t>
      </w:r>
      <w:r>
        <w:rPr>
          <w:rFonts w:hint="eastAsia" w:cs="Arial" w:asciiTheme="minorEastAsia" w:hAnsiTheme="minorEastAsia"/>
          <w:bCs/>
          <w:kern w:val="0"/>
          <w:szCs w:val="24"/>
        </w:rPr>
        <w:t>。</w:t>
      </w:r>
    </w:p>
    <w:p w14:paraId="3A2A70AA">
      <w:pPr>
        <w:pStyle w:val="6"/>
        <w:numPr>
          <w:ilvl w:val="3"/>
          <w:numId w:val="16"/>
        </w:numPr>
        <w:rPr>
          <w:sz w:val="28"/>
        </w:rPr>
      </w:pPr>
      <w:bookmarkStart w:id="360" w:name="_Toc195198450"/>
      <w:r>
        <w:rPr>
          <w:sz w:val="28"/>
        </w:rPr>
        <w:t>PASS药师审方干预系统</w:t>
      </w:r>
      <w:bookmarkEnd w:id="360"/>
    </w:p>
    <w:p w14:paraId="2CEC21AD">
      <w:pPr>
        <w:pStyle w:val="3"/>
      </w:pPr>
      <w:r>
        <w:rPr>
          <w:rFonts w:hint="eastAsia" w:asciiTheme="minorEastAsia" w:hAnsiTheme="minorEastAsia" w:eastAsiaTheme="minorEastAsia"/>
        </w:rPr>
        <w:t>具备支持以下功能：</w:t>
      </w:r>
    </w:p>
    <w:p w14:paraId="2C606A06">
      <w:pPr>
        <w:ind w:firstLine="480" w:firstLineChars="200"/>
        <w:rPr>
          <w:rFonts w:asciiTheme="minorEastAsia" w:hAnsiTheme="minorEastAsia"/>
          <w:szCs w:val="24"/>
        </w:rPr>
      </w:pPr>
      <w:r>
        <w:rPr>
          <w:rFonts w:hint="eastAsia" w:asciiTheme="minorEastAsia" w:hAnsiTheme="minorEastAsia"/>
          <w:szCs w:val="24"/>
        </w:rPr>
        <w:t>区域内的牵头医院可建立审方中心，PASS药师审方干预系统为药师提供审方工作平台，药师可对各医院的处方/医嘱进行集中审方，实现问题处方/医嘱的实时审核和干预。</w:t>
      </w:r>
    </w:p>
    <w:p w14:paraId="15E60763">
      <w:pPr>
        <w:ind w:firstLine="480" w:firstLineChars="200"/>
        <w:rPr>
          <w:rFonts w:asciiTheme="minorEastAsia" w:hAnsiTheme="minorEastAsia"/>
          <w:szCs w:val="24"/>
        </w:rPr>
      </w:pPr>
      <w:r>
        <w:rPr>
          <w:rFonts w:hint="eastAsia" w:asciiTheme="minorEastAsia" w:hAnsiTheme="minorEastAsia"/>
          <w:szCs w:val="24"/>
        </w:rPr>
        <w:t>药师在审方时可查阅到当前患者在本区域内其他医院开具的处方，也可查看上级医院或区域内高职称药师对当前不合理用药行为的审方处置意见和指导建议，帮助药师更快更高质量完成审方。</w:t>
      </w:r>
    </w:p>
    <w:p w14:paraId="7A90467B">
      <w:pPr>
        <w:ind w:firstLine="480" w:firstLineChars="200"/>
        <w:rPr>
          <w:rFonts w:asciiTheme="minorEastAsia" w:hAnsiTheme="minorEastAsia"/>
          <w:szCs w:val="24"/>
        </w:rPr>
      </w:pPr>
      <w:r>
        <w:rPr>
          <w:rFonts w:hint="eastAsia" w:asciiTheme="minorEastAsia" w:hAnsiTheme="minorEastAsia"/>
          <w:szCs w:val="24"/>
        </w:rPr>
        <w:t>审方中心的管理人员可对区域内药师的审方结果统一进行质量评价、差异性分析，并可对区域内不同医院的审方情况进行合并统计，也可按医院分别统计，并对比各医院审方情况。</w:t>
      </w:r>
    </w:p>
    <w:p w14:paraId="12CA6C06">
      <w:pPr>
        <w:pStyle w:val="7"/>
        <w:numPr>
          <w:ilvl w:val="4"/>
          <w:numId w:val="16"/>
        </w:numPr>
      </w:pPr>
      <w:bookmarkStart w:id="361" w:name="_Toc472602417"/>
      <w:bookmarkStart w:id="362" w:name="_Toc454444078"/>
      <w:bookmarkStart w:id="363" w:name="_Toc454839190"/>
      <w:r>
        <w:rPr>
          <w:rFonts w:hint="eastAsia"/>
        </w:rPr>
        <w:t>药师审方干预功能</w:t>
      </w:r>
      <w:bookmarkEnd w:id="361"/>
      <w:bookmarkEnd w:id="362"/>
      <w:bookmarkEnd w:id="363"/>
    </w:p>
    <w:p w14:paraId="32C5C4B0">
      <w:pPr>
        <w:pStyle w:val="3"/>
      </w:pPr>
      <w:r>
        <w:rPr>
          <w:rFonts w:hint="eastAsia" w:asciiTheme="minorEastAsia" w:hAnsiTheme="minorEastAsia" w:eastAsiaTheme="minorEastAsia"/>
        </w:rPr>
        <w:t>具备支持以下功能：</w:t>
      </w:r>
    </w:p>
    <w:p w14:paraId="0111AEE1">
      <w:pPr>
        <w:ind w:firstLine="480" w:firstLineChars="200"/>
        <w:rPr>
          <w:rFonts w:asciiTheme="minorEastAsia" w:hAnsiTheme="minorEastAsia"/>
          <w:szCs w:val="24"/>
        </w:rPr>
      </w:pPr>
      <w:r>
        <w:rPr>
          <w:rFonts w:hint="eastAsia" w:asciiTheme="minorEastAsia" w:hAnsiTheme="minorEastAsia"/>
          <w:szCs w:val="24"/>
        </w:rPr>
        <w:t>PASS药师审方干预系统可以在医生开具药物处方（医嘱）后，立即自动审查出存在不合理用药问题的处方（医嘱），医生自查后可返回修改或提请药师审核，由药师对处方（医嘱）进行人工复核。审查过程中，药师可就处方（医嘱）的用药问题与开嘱医生实时互动沟通，直到处方（医嘱）通过审查，进入处方（医嘱）管理流程的下一环节，实现药师审方干预效果。</w:t>
      </w:r>
    </w:p>
    <w:p w14:paraId="2E5D8395">
      <w:pPr>
        <w:pStyle w:val="292"/>
        <w:numPr>
          <w:ilvl w:val="1"/>
          <w:numId w:val="38"/>
        </w:numPr>
        <w:spacing w:before="0" w:after="0"/>
        <w:ind w:left="993" w:firstLine="480"/>
        <w:rPr>
          <w:rFonts w:asciiTheme="minorEastAsia" w:hAnsiTheme="minorEastAsia" w:eastAsiaTheme="minorEastAsia"/>
          <w:sz w:val="24"/>
          <w:szCs w:val="24"/>
        </w:rPr>
      </w:pPr>
      <w:r>
        <w:rPr>
          <w:rFonts w:hint="eastAsia" w:asciiTheme="minorEastAsia" w:hAnsiTheme="minorEastAsia" w:eastAsiaTheme="minorEastAsia"/>
          <w:sz w:val="24"/>
          <w:szCs w:val="24"/>
        </w:rPr>
        <w:t>系统审查</w:t>
      </w:r>
    </w:p>
    <w:p w14:paraId="7E221159">
      <w:pPr>
        <w:ind w:firstLine="480" w:firstLineChars="200"/>
        <w:rPr>
          <w:rFonts w:asciiTheme="minorEastAsia" w:hAnsiTheme="minorEastAsia"/>
          <w:szCs w:val="24"/>
        </w:rPr>
      </w:pPr>
      <w:r>
        <w:rPr>
          <w:rFonts w:hint="eastAsia" w:asciiTheme="minorEastAsia" w:hAnsiTheme="minorEastAsia"/>
          <w:szCs w:val="24"/>
        </w:rPr>
        <w:t>系统在处方（医嘱）药品输入完毕后，立即对处方（医嘱）中可能存在的药物相互作用、药物过敏、注射液体外配伍、剂量范围、药物禁忌、不良反应、重复用药、给药途径和特殊人群用药等潜在不合理用药问题进行自动、实时的审查，医生自查后可选择返回修改或者填写用药理由后提交药师审核。系统审查通过的处方（医嘱）则进入医院处方（医嘱）管理流程的下一环节，无需药师进行人工审查。</w:t>
      </w:r>
    </w:p>
    <w:p w14:paraId="22A5A8FC">
      <w:pPr>
        <w:ind w:firstLine="480" w:firstLineChars="200"/>
        <w:rPr>
          <w:rFonts w:asciiTheme="minorEastAsia" w:hAnsiTheme="minorEastAsia"/>
          <w:szCs w:val="24"/>
        </w:rPr>
      </w:pPr>
      <w:r>
        <w:rPr>
          <w:rFonts w:hint="eastAsia" w:asciiTheme="minorEastAsia" w:hAnsiTheme="minorEastAsia"/>
          <w:szCs w:val="24"/>
        </w:rPr>
        <w:t>系统审查项目与合理用药监测系统V4相同。</w:t>
      </w:r>
    </w:p>
    <w:p w14:paraId="4218423C">
      <w:pPr>
        <w:pStyle w:val="292"/>
        <w:numPr>
          <w:ilvl w:val="1"/>
          <w:numId w:val="38"/>
        </w:numPr>
        <w:spacing w:before="0" w:after="0"/>
        <w:ind w:left="993" w:firstLine="480"/>
        <w:rPr>
          <w:rFonts w:asciiTheme="minorEastAsia" w:hAnsiTheme="minorEastAsia" w:eastAsiaTheme="minorEastAsia"/>
          <w:sz w:val="24"/>
          <w:szCs w:val="24"/>
        </w:rPr>
      </w:pPr>
      <w:r>
        <w:rPr>
          <w:rFonts w:hint="eastAsia" w:asciiTheme="minorEastAsia" w:hAnsiTheme="minorEastAsia" w:eastAsiaTheme="minorEastAsia"/>
          <w:sz w:val="24"/>
          <w:szCs w:val="24"/>
        </w:rPr>
        <w:t>人工审查</w:t>
      </w:r>
    </w:p>
    <w:p w14:paraId="11B8B604">
      <w:pPr>
        <w:ind w:firstLine="480" w:firstLineChars="200"/>
        <w:rPr>
          <w:rFonts w:asciiTheme="minorEastAsia" w:hAnsiTheme="minorEastAsia"/>
          <w:szCs w:val="24"/>
        </w:rPr>
      </w:pPr>
      <w:r>
        <w:rPr>
          <w:rFonts w:hint="eastAsia" w:asciiTheme="minorEastAsia" w:hAnsiTheme="minorEastAsia"/>
          <w:szCs w:val="24"/>
        </w:rPr>
        <w:t>系统通过屏幕弹窗、声音，提示药师有待审查新处方（医嘱）或已修改处方（医嘱）。药师在审方界面可以看到待审查处方（医嘱）的详细信息。</w:t>
      </w:r>
    </w:p>
    <w:p w14:paraId="3C78CB2B">
      <w:pPr>
        <w:ind w:firstLine="480" w:firstLineChars="200"/>
        <w:rPr>
          <w:rFonts w:asciiTheme="minorEastAsia" w:hAnsiTheme="minorEastAsia"/>
          <w:szCs w:val="24"/>
        </w:rPr>
      </w:pPr>
      <w:r>
        <w:rPr>
          <w:rFonts w:hint="eastAsia" w:asciiTheme="minorEastAsia" w:hAnsiTheme="minorEastAsia"/>
          <w:szCs w:val="24"/>
        </w:rPr>
        <w:t>门（急）诊处方审方界面：可查看病人标记（特殊病人、门/急诊病人）和处方信息标记（慢病处方、皮试阳性结果处方），查看患者检验检查信息、患者过敏史、抗菌药物用药评估单，其中检验结果异常项目可单独显示。可链接医院EMR系统查看患者详细信息。</w:t>
      </w:r>
    </w:p>
    <w:p w14:paraId="3F42CFFD">
      <w:pPr>
        <w:ind w:firstLine="480" w:firstLineChars="200"/>
        <w:rPr>
          <w:rFonts w:asciiTheme="minorEastAsia" w:hAnsiTheme="minorEastAsia"/>
          <w:szCs w:val="24"/>
        </w:rPr>
      </w:pPr>
      <w:r>
        <w:rPr>
          <w:rFonts w:hint="eastAsia" w:asciiTheme="minorEastAsia" w:hAnsiTheme="minorEastAsia"/>
          <w:szCs w:val="24"/>
        </w:rPr>
        <w:t>住院医嘱审方界面：除了医嘱信息外还可以查看病人其它相关管理信息。这些相关信息主要包括：</w:t>
      </w:r>
    </w:p>
    <w:p w14:paraId="0DCBFBF5">
      <w:pPr>
        <w:pStyle w:val="70"/>
        <w:numPr>
          <w:ilvl w:val="0"/>
          <w:numId w:val="39"/>
        </w:numPr>
        <w:ind w:right="-65" w:rightChars="-27" w:firstLineChars="0"/>
        <w:rPr>
          <w:rFonts w:cs="Arial" w:asciiTheme="minorEastAsia" w:hAnsiTheme="minorEastAsia"/>
        </w:rPr>
      </w:pPr>
      <w:r>
        <w:rPr>
          <w:rFonts w:hint="eastAsia" w:cs="Arial" w:asciiTheme="minorEastAsia" w:hAnsiTheme="minorEastAsia"/>
        </w:rPr>
        <w:t>手术信息：包括手术名称、切口类型等信息；</w:t>
      </w:r>
    </w:p>
    <w:p w14:paraId="476822B5">
      <w:pPr>
        <w:pStyle w:val="70"/>
        <w:numPr>
          <w:ilvl w:val="0"/>
          <w:numId w:val="39"/>
        </w:numPr>
        <w:ind w:right="-65" w:rightChars="-27" w:firstLineChars="0"/>
        <w:rPr>
          <w:rFonts w:cs="Arial" w:asciiTheme="minorEastAsia" w:hAnsiTheme="minorEastAsia"/>
        </w:rPr>
      </w:pPr>
      <w:bookmarkStart w:id="364" w:name="_Hlk107846891"/>
      <w:r>
        <w:rPr>
          <w:rFonts w:hint="eastAsia" w:cs="Arial" w:asciiTheme="minorEastAsia" w:hAnsiTheme="minorEastAsia"/>
        </w:rPr>
        <w:t>可链接医院EMR系统查看患者详细信息</w:t>
      </w:r>
      <w:bookmarkEnd w:id="364"/>
      <w:r>
        <w:rPr>
          <w:rFonts w:hint="eastAsia" w:cs="Arial" w:asciiTheme="minorEastAsia" w:hAnsiTheme="minorEastAsia"/>
        </w:rPr>
        <w:t>。</w:t>
      </w:r>
    </w:p>
    <w:p w14:paraId="46BA200F">
      <w:pPr>
        <w:pStyle w:val="70"/>
        <w:numPr>
          <w:ilvl w:val="0"/>
          <w:numId w:val="39"/>
        </w:numPr>
        <w:ind w:right="-65" w:rightChars="-27" w:firstLineChars="0"/>
        <w:rPr>
          <w:rFonts w:cs="Arial" w:asciiTheme="minorEastAsia" w:hAnsiTheme="minorEastAsia"/>
        </w:rPr>
      </w:pPr>
      <w:r>
        <w:rPr>
          <w:rFonts w:hint="eastAsia" w:cs="Arial" w:asciiTheme="minorEastAsia" w:hAnsiTheme="minorEastAsia"/>
        </w:rPr>
        <w:t>患者检验检查信息，可单独显示检验结果异常项目，可查看住院患者检验指标变化趋势图。</w:t>
      </w:r>
    </w:p>
    <w:p w14:paraId="7A712AC2">
      <w:pPr>
        <w:pStyle w:val="70"/>
        <w:numPr>
          <w:ilvl w:val="0"/>
          <w:numId w:val="39"/>
        </w:numPr>
        <w:ind w:right="-65" w:rightChars="-27" w:firstLineChars="0"/>
        <w:rPr>
          <w:rFonts w:cs="Arial" w:asciiTheme="minorEastAsia" w:hAnsiTheme="minorEastAsia"/>
        </w:rPr>
      </w:pPr>
      <w:r>
        <w:rPr>
          <w:rFonts w:hint="eastAsia" w:cs="Arial" w:asciiTheme="minorEastAsia" w:hAnsiTheme="minorEastAsia"/>
        </w:rPr>
        <w:t>会诊信息</w:t>
      </w:r>
    </w:p>
    <w:p w14:paraId="31E25A9E">
      <w:pPr>
        <w:pStyle w:val="70"/>
        <w:numPr>
          <w:ilvl w:val="0"/>
          <w:numId w:val="39"/>
        </w:numPr>
        <w:ind w:right="-65" w:rightChars="-27" w:firstLineChars="0"/>
        <w:rPr>
          <w:rFonts w:cs="Arial" w:asciiTheme="minorEastAsia" w:hAnsiTheme="minorEastAsia"/>
        </w:rPr>
      </w:pPr>
      <w:r>
        <w:rPr>
          <w:rFonts w:hint="eastAsia" w:cs="Arial" w:asciiTheme="minorEastAsia" w:hAnsiTheme="minorEastAsia"/>
        </w:rPr>
        <w:t>抗菌药物用药评估单</w:t>
      </w:r>
    </w:p>
    <w:p w14:paraId="496AD536">
      <w:pPr>
        <w:pStyle w:val="70"/>
        <w:numPr>
          <w:ilvl w:val="0"/>
          <w:numId w:val="39"/>
        </w:numPr>
        <w:ind w:right="-65" w:rightChars="-27" w:firstLineChars="0"/>
        <w:rPr>
          <w:rFonts w:cs="Arial" w:asciiTheme="minorEastAsia" w:hAnsiTheme="minorEastAsia"/>
        </w:rPr>
      </w:pPr>
      <w:r>
        <w:rPr>
          <w:rFonts w:hint="eastAsia" w:cs="Arial" w:asciiTheme="minorEastAsia" w:hAnsiTheme="minorEastAsia"/>
        </w:rPr>
        <w:t>慢病处方标记、皮试阳性结果标记</w:t>
      </w:r>
    </w:p>
    <w:p w14:paraId="481C2BD4">
      <w:pPr>
        <w:pStyle w:val="70"/>
        <w:numPr>
          <w:ilvl w:val="0"/>
          <w:numId w:val="39"/>
        </w:numPr>
        <w:ind w:right="245" w:rightChars="102" w:firstLineChars="0"/>
        <w:rPr>
          <w:rFonts w:cs="Arial" w:asciiTheme="minorEastAsia" w:hAnsiTheme="minorEastAsia"/>
        </w:rPr>
      </w:pPr>
      <w:r>
        <w:rPr>
          <w:rFonts w:hint="eastAsia" w:cs="Arial" w:asciiTheme="minorEastAsia" w:hAnsiTheme="minorEastAsia"/>
        </w:rPr>
        <w:t>T</w:t>
      </w:r>
      <w:r>
        <w:rPr>
          <w:rFonts w:cs="Arial" w:asciiTheme="minorEastAsia" w:hAnsiTheme="minorEastAsia"/>
        </w:rPr>
        <w:t>PN</w:t>
      </w:r>
      <w:r>
        <w:rPr>
          <w:rFonts w:hint="eastAsia" w:cs="Arial" w:asciiTheme="minorEastAsia" w:hAnsiTheme="minorEastAsia"/>
        </w:rPr>
        <w:t>分析</w:t>
      </w:r>
    </w:p>
    <w:p w14:paraId="457846DE">
      <w:pPr>
        <w:ind w:firstLine="480" w:firstLineChars="200"/>
        <w:rPr>
          <w:rFonts w:asciiTheme="minorEastAsia" w:hAnsiTheme="minorEastAsia"/>
          <w:szCs w:val="24"/>
        </w:rPr>
      </w:pPr>
      <w:r>
        <w:rPr>
          <w:rFonts w:hint="eastAsia" w:asciiTheme="minorEastAsia" w:hAnsiTheme="minorEastAsia"/>
          <w:szCs w:val="24"/>
        </w:rPr>
        <w:t>除了待审查处方（医嘱）的详细信息，还支持比对不同版本处方内容、患者其他处方信息，作为人工审查的参考。</w:t>
      </w:r>
    </w:p>
    <w:p w14:paraId="2193DA9E">
      <w:pPr>
        <w:ind w:firstLine="480" w:firstLineChars="200"/>
        <w:rPr>
          <w:rFonts w:asciiTheme="minorEastAsia" w:hAnsiTheme="minorEastAsia"/>
          <w:szCs w:val="24"/>
        </w:rPr>
      </w:pPr>
      <w:r>
        <w:rPr>
          <w:rFonts w:hint="eastAsia" w:asciiTheme="minorEastAsia" w:hAnsiTheme="minorEastAsia"/>
          <w:szCs w:val="24"/>
        </w:rPr>
        <w:t>药师人工审查时，医生端将自动弹出等待窗口，提示医生需要等待药师审核。医生等待窗口将显示审方药师和药剂科的联系电话，并可查看审方倒计时。等待期间医生不可进行其他操作，药师审方结束后将在医生端自动弹窗，提示药师审查结果，医生可根据审查结果进行下一步操作。</w:t>
      </w:r>
    </w:p>
    <w:p w14:paraId="1055A02E">
      <w:pPr>
        <w:pStyle w:val="292"/>
        <w:numPr>
          <w:ilvl w:val="1"/>
          <w:numId w:val="38"/>
        </w:numPr>
        <w:spacing w:before="0" w:after="0"/>
        <w:ind w:left="993" w:firstLine="480"/>
        <w:rPr>
          <w:rFonts w:asciiTheme="minorEastAsia" w:hAnsiTheme="minorEastAsia" w:eastAsiaTheme="minorEastAsia"/>
          <w:sz w:val="24"/>
          <w:szCs w:val="24"/>
        </w:rPr>
      </w:pPr>
      <w:r>
        <w:rPr>
          <w:rFonts w:hint="eastAsia" w:asciiTheme="minorEastAsia" w:hAnsiTheme="minorEastAsia" w:eastAsiaTheme="minorEastAsia"/>
          <w:sz w:val="24"/>
          <w:szCs w:val="24"/>
        </w:rPr>
        <w:t>药师审查干预（药师医生实时互动）</w:t>
      </w:r>
    </w:p>
    <w:p w14:paraId="0952CA77">
      <w:pPr>
        <w:ind w:firstLine="480" w:firstLineChars="200"/>
        <w:rPr>
          <w:rFonts w:asciiTheme="minorEastAsia" w:hAnsiTheme="minorEastAsia"/>
          <w:szCs w:val="24"/>
        </w:rPr>
      </w:pPr>
      <w:r>
        <w:rPr>
          <w:rFonts w:hint="eastAsia" w:asciiTheme="minorEastAsia" w:hAnsiTheme="minorEastAsia"/>
          <w:szCs w:val="24"/>
        </w:rPr>
        <w:t>对于药师人工审查不通过的处方（医嘱），药师可以通过系统提供的通信平台与医生进行实时互动沟通。药师可以选择系统不合理用药问题或预设的问题模板，并在此基础上编辑不通过理由发送给开嘱医生，医生修改处方（医嘱）信息后或医生填写理由双签后，处方（医嘱）重新进入系统审查（双签无该步骤）-人工审查-修改处方（医嘱）环节，直至处方（医嘱）审查通过。对于绝对不可出现的用药问题，药师可选择“必须修改”，要求医生必须修改，否则拒绝发药。药师在人工审查界面可以查看当前已修改处方（医嘱）的各个历史提交版本详细信息、不通过理由（状态记录）和干预记录等。</w:t>
      </w:r>
    </w:p>
    <w:p w14:paraId="3754E9D8">
      <w:pPr>
        <w:ind w:firstLine="480" w:firstLineChars="200"/>
        <w:rPr>
          <w:rFonts w:asciiTheme="minorEastAsia" w:hAnsiTheme="minorEastAsia"/>
          <w:szCs w:val="24"/>
        </w:rPr>
      </w:pPr>
      <w:r>
        <w:rPr>
          <w:rFonts w:hint="eastAsia" w:asciiTheme="minorEastAsia" w:hAnsiTheme="minorEastAsia"/>
          <w:szCs w:val="24"/>
        </w:rPr>
        <w:t>为了避免门（急）诊患者等待时间过长，门（急）诊处方审查药师还可以根据具体情况决定是否赋予医生双签通过权限。</w:t>
      </w:r>
    </w:p>
    <w:p w14:paraId="3A4EC0F7">
      <w:pPr>
        <w:ind w:firstLine="480" w:firstLineChars="200"/>
        <w:rPr>
          <w:rFonts w:asciiTheme="minorEastAsia" w:hAnsiTheme="minorEastAsia"/>
          <w:szCs w:val="24"/>
        </w:rPr>
      </w:pPr>
      <w:r>
        <w:rPr>
          <w:rFonts w:hint="eastAsia" w:asciiTheme="minorEastAsia" w:hAnsiTheme="minorEastAsia"/>
          <w:szCs w:val="24"/>
        </w:rPr>
        <w:t>药师可在审方界面实时查看当天已通过处方（医嘱）的详细信息。</w:t>
      </w:r>
    </w:p>
    <w:p w14:paraId="4FCF0C9E">
      <w:pPr>
        <w:pStyle w:val="292"/>
        <w:numPr>
          <w:ilvl w:val="1"/>
          <w:numId w:val="38"/>
        </w:numPr>
        <w:spacing w:before="0" w:after="0"/>
        <w:ind w:left="993" w:firstLine="480"/>
        <w:rPr>
          <w:rFonts w:asciiTheme="minorEastAsia" w:hAnsiTheme="minorEastAsia" w:eastAsiaTheme="minorEastAsia"/>
          <w:sz w:val="24"/>
          <w:szCs w:val="24"/>
        </w:rPr>
      </w:pPr>
      <w:r>
        <w:rPr>
          <w:rFonts w:hint="eastAsia" w:asciiTheme="minorEastAsia" w:hAnsiTheme="minorEastAsia" w:eastAsiaTheme="minorEastAsia"/>
          <w:sz w:val="24"/>
          <w:szCs w:val="24"/>
        </w:rPr>
        <w:t>处方（医嘱）状态记录</w:t>
      </w:r>
    </w:p>
    <w:p w14:paraId="1D1AE21C">
      <w:pPr>
        <w:ind w:firstLine="480" w:firstLineChars="200"/>
        <w:rPr>
          <w:rFonts w:asciiTheme="minorEastAsia" w:hAnsiTheme="minorEastAsia"/>
          <w:szCs w:val="24"/>
        </w:rPr>
      </w:pPr>
      <w:r>
        <w:rPr>
          <w:rFonts w:hint="eastAsia" w:asciiTheme="minorEastAsia" w:hAnsiTheme="minorEastAsia"/>
          <w:szCs w:val="24"/>
        </w:rPr>
        <w:t>处方（医嘱）最终通过审查的情况有很多种，为了区分这些不同情况下通过的处方（医嘱），以及记录通过处方（医嘱）的每个修改版本的情况，系统给这些处方（医嘱）会添加不同的状态标记。</w:t>
      </w:r>
    </w:p>
    <w:p w14:paraId="5AFE3CCF">
      <w:pPr>
        <w:pStyle w:val="292"/>
        <w:numPr>
          <w:ilvl w:val="1"/>
          <w:numId w:val="38"/>
        </w:numPr>
        <w:spacing w:before="0" w:after="0"/>
        <w:ind w:left="993" w:firstLine="480"/>
        <w:rPr>
          <w:rFonts w:asciiTheme="minorEastAsia" w:hAnsiTheme="minorEastAsia" w:eastAsiaTheme="minorEastAsia"/>
          <w:sz w:val="24"/>
          <w:szCs w:val="24"/>
        </w:rPr>
      </w:pPr>
      <w:r>
        <w:rPr>
          <w:rFonts w:hint="eastAsia" w:asciiTheme="minorEastAsia" w:hAnsiTheme="minorEastAsia" w:eastAsiaTheme="minorEastAsia"/>
          <w:sz w:val="24"/>
          <w:szCs w:val="24"/>
        </w:rPr>
        <w:t>离开模式</w:t>
      </w:r>
    </w:p>
    <w:p w14:paraId="5B16A828">
      <w:pPr>
        <w:ind w:firstLine="480" w:firstLineChars="200"/>
        <w:rPr>
          <w:rFonts w:asciiTheme="minorEastAsia" w:hAnsiTheme="minorEastAsia"/>
          <w:szCs w:val="24"/>
        </w:rPr>
      </w:pPr>
      <w:r>
        <w:rPr>
          <w:rFonts w:hint="eastAsia" w:asciiTheme="minorEastAsia" w:hAnsiTheme="minorEastAsia"/>
          <w:szCs w:val="24"/>
        </w:rPr>
        <w:t>若药师临时有其它事务需要处理，可以在审方界面选择离开，若有审查中处方（医嘱），系统会提示药师。启动了离开模式后，系统会自动将新任务分配给其它药师。</w:t>
      </w:r>
    </w:p>
    <w:p w14:paraId="30F0B894">
      <w:pPr>
        <w:pStyle w:val="292"/>
        <w:numPr>
          <w:ilvl w:val="1"/>
          <w:numId w:val="38"/>
        </w:numPr>
        <w:spacing w:before="0" w:after="0"/>
        <w:ind w:left="993" w:firstLine="480"/>
        <w:rPr>
          <w:rFonts w:asciiTheme="minorEastAsia" w:hAnsiTheme="minorEastAsia" w:eastAsiaTheme="minorEastAsia"/>
          <w:sz w:val="24"/>
          <w:szCs w:val="24"/>
        </w:rPr>
      </w:pPr>
      <w:r>
        <w:rPr>
          <w:rFonts w:asciiTheme="minorEastAsia" w:hAnsiTheme="minorEastAsia" w:eastAsiaTheme="minorEastAsia"/>
          <w:sz w:val="24"/>
          <w:szCs w:val="24"/>
        </w:rPr>
        <w:t>中药方剂</w:t>
      </w:r>
      <w:r>
        <w:rPr>
          <w:rFonts w:hint="eastAsia" w:asciiTheme="minorEastAsia" w:hAnsiTheme="minorEastAsia" w:eastAsiaTheme="minorEastAsia"/>
          <w:sz w:val="24"/>
          <w:szCs w:val="24"/>
        </w:rPr>
        <w:t>智能查询</w:t>
      </w:r>
    </w:p>
    <w:p w14:paraId="6D30628B">
      <w:pPr>
        <w:ind w:firstLine="480" w:firstLineChars="200"/>
        <w:rPr>
          <w:rFonts w:asciiTheme="minorEastAsia" w:hAnsiTheme="minorEastAsia"/>
          <w:szCs w:val="24"/>
        </w:rPr>
      </w:pPr>
      <w:r>
        <w:rPr>
          <w:rFonts w:hint="eastAsia" w:asciiTheme="minorEastAsia" w:hAnsiTheme="minorEastAsia"/>
          <w:szCs w:val="24"/>
        </w:rPr>
        <w:t>药师在查看中药处方时，可通过方剂查询入口，进行经典中药方剂的智能匹配查询。</w:t>
      </w:r>
    </w:p>
    <w:p w14:paraId="0F0BE2C5">
      <w:pPr>
        <w:pStyle w:val="7"/>
        <w:numPr>
          <w:ilvl w:val="4"/>
          <w:numId w:val="16"/>
        </w:numPr>
      </w:pPr>
      <w:bookmarkStart w:id="365" w:name="_Toc472602418"/>
      <w:r>
        <w:rPr>
          <w:rFonts w:hint="eastAsia"/>
        </w:rPr>
        <w:t>审方干预自定义</w:t>
      </w:r>
      <w:bookmarkEnd w:id="365"/>
    </w:p>
    <w:p w14:paraId="3B9871B6">
      <w:pPr>
        <w:pStyle w:val="3"/>
      </w:pPr>
      <w:r>
        <w:rPr>
          <w:rFonts w:hint="eastAsia" w:asciiTheme="minorEastAsia" w:hAnsiTheme="minorEastAsia" w:eastAsiaTheme="minorEastAsia"/>
        </w:rPr>
        <w:t>具备支持以下功能：</w:t>
      </w:r>
    </w:p>
    <w:p w14:paraId="6011FE8D">
      <w:pPr>
        <w:ind w:firstLine="480" w:firstLineChars="200"/>
        <w:rPr>
          <w:rFonts w:asciiTheme="minorEastAsia" w:hAnsiTheme="minorEastAsia"/>
          <w:szCs w:val="24"/>
        </w:rPr>
      </w:pPr>
      <w:r>
        <w:rPr>
          <w:rFonts w:asciiTheme="minorEastAsia" w:hAnsiTheme="minorEastAsia"/>
          <w:szCs w:val="24"/>
        </w:rPr>
        <w:t>为了用户可以根据临床实际情况或医院管理规定</w:t>
      </w:r>
      <w:r>
        <w:rPr>
          <w:rFonts w:hint="eastAsia" w:asciiTheme="minorEastAsia" w:hAnsiTheme="minorEastAsia"/>
          <w:szCs w:val="24"/>
        </w:rPr>
        <w:t>需要，系统为用户提供了灵活的药师审方干预自定义功能。</w:t>
      </w:r>
    </w:p>
    <w:p w14:paraId="606BB5FB">
      <w:pPr>
        <w:pStyle w:val="292"/>
        <w:numPr>
          <w:ilvl w:val="1"/>
          <w:numId w:val="40"/>
        </w:numPr>
        <w:spacing w:before="0" w:after="0"/>
        <w:ind w:firstLine="480"/>
        <w:rPr>
          <w:rFonts w:asciiTheme="minorEastAsia" w:hAnsiTheme="minorEastAsia" w:eastAsiaTheme="minorEastAsia"/>
          <w:bCs/>
          <w:sz w:val="24"/>
          <w:szCs w:val="24"/>
        </w:rPr>
      </w:pPr>
      <w:r>
        <w:rPr>
          <w:rFonts w:hint="eastAsia" w:asciiTheme="minorEastAsia" w:hAnsiTheme="minorEastAsia" w:eastAsiaTheme="minorEastAsia"/>
          <w:sz w:val="24"/>
          <w:szCs w:val="24"/>
        </w:rPr>
        <w:t>超时设置</w:t>
      </w:r>
    </w:p>
    <w:p w14:paraId="0B746435">
      <w:pPr>
        <w:ind w:firstLine="480" w:firstLineChars="200"/>
        <w:rPr>
          <w:rFonts w:asciiTheme="minorEastAsia" w:hAnsiTheme="minorEastAsia"/>
          <w:szCs w:val="24"/>
        </w:rPr>
      </w:pPr>
      <w:r>
        <w:rPr>
          <w:rFonts w:hint="eastAsia" w:asciiTheme="minorEastAsia" w:hAnsiTheme="minorEastAsia"/>
          <w:szCs w:val="24"/>
        </w:rPr>
        <w:t>为了避免患者等待时间过长，用户可以设置药师人工审查时限，药师审方一旦超过规定时限，待审查处方（医嘱）自动通过。可分科室设置超时时间。</w:t>
      </w:r>
    </w:p>
    <w:p w14:paraId="733F21C0">
      <w:pPr>
        <w:pStyle w:val="292"/>
        <w:numPr>
          <w:ilvl w:val="1"/>
          <w:numId w:val="40"/>
        </w:numPr>
        <w:spacing w:before="0" w:after="0"/>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人工干预开关</w:t>
      </w:r>
    </w:p>
    <w:p w14:paraId="400BEDED">
      <w:pPr>
        <w:ind w:firstLine="480" w:firstLineChars="200"/>
        <w:rPr>
          <w:rFonts w:asciiTheme="minorEastAsia" w:hAnsiTheme="minorEastAsia"/>
          <w:szCs w:val="24"/>
        </w:rPr>
      </w:pPr>
      <w:r>
        <w:rPr>
          <w:rFonts w:hint="eastAsia" w:asciiTheme="minorEastAsia" w:hAnsiTheme="minorEastAsia"/>
          <w:szCs w:val="24"/>
        </w:rPr>
        <w:t>非药师审方工作时间，可将系统关闭，关闭时若有未处理任务，系统会提示用户，用户确认后，未处理的任务全部自动通过。系统关闭期间传送到系统的处方（医嘱）自动通过并进行记录，不影响处方（医嘱）的下一环节的执行。</w:t>
      </w:r>
    </w:p>
    <w:p w14:paraId="4BBF3DA9">
      <w:pPr>
        <w:pStyle w:val="292"/>
        <w:numPr>
          <w:ilvl w:val="1"/>
          <w:numId w:val="40"/>
        </w:numPr>
        <w:spacing w:before="0" w:after="0"/>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重点关注</w:t>
      </w:r>
    </w:p>
    <w:p w14:paraId="7CBB4878">
      <w:pPr>
        <w:ind w:firstLine="480" w:firstLineChars="200"/>
        <w:rPr>
          <w:rFonts w:asciiTheme="minorEastAsia" w:hAnsiTheme="minorEastAsia"/>
          <w:szCs w:val="24"/>
        </w:rPr>
      </w:pPr>
      <w:r>
        <w:rPr>
          <w:rFonts w:hint="eastAsia" w:asciiTheme="minorEastAsia" w:hAnsiTheme="minorEastAsia"/>
          <w:szCs w:val="24"/>
        </w:rPr>
        <w:t>可将任意科室、医生、患者、疾病、药品设置为重点关注，可按科室、医生、患者、疾病、药品、问题类型、警示级别多条件组合设置重点关注，组合设置还可选择不同的逻辑关系，包含重点关注信息的处方即使系统审查通过也仍交由药师进行全面审查。</w:t>
      </w:r>
    </w:p>
    <w:p w14:paraId="421C6D6A">
      <w:pPr>
        <w:pStyle w:val="292"/>
        <w:numPr>
          <w:ilvl w:val="1"/>
          <w:numId w:val="40"/>
        </w:numPr>
        <w:spacing w:before="0" w:after="0"/>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双签模式</w:t>
      </w:r>
    </w:p>
    <w:p w14:paraId="2A9C9199">
      <w:pPr>
        <w:autoSpaceDE w:val="0"/>
        <w:autoSpaceDN w:val="0"/>
        <w:adjustRightInd w:val="0"/>
        <w:ind w:right="-65" w:rightChars="-27" w:firstLine="480" w:firstLineChars="200"/>
        <w:rPr>
          <w:rFonts w:cs="Arial" w:asciiTheme="minorEastAsia" w:hAnsiTheme="minorEastAsia"/>
          <w:szCs w:val="24"/>
        </w:rPr>
      </w:pPr>
      <w:r>
        <w:rPr>
          <w:rFonts w:hint="eastAsia" w:cs="Arial" w:asciiTheme="minorEastAsia" w:hAnsiTheme="minorEastAsia"/>
          <w:szCs w:val="24"/>
        </w:rPr>
        <w:t>系统设置中，用户可根据实际情况对药师医生双签通过模式进行设置，包括双签通过模式、双签复核模式、药师审核时选择模式。</w:t>
      </w:r>
    </w:p>
    <w:p w14:paraId="5CECC1DF">
      <w:pPr>
        <w:pStyle w:val="292"/>
        <w:numPr>
          <w:ilvl w:val="1"/>
          <w:numId w:val="40"/>
        </w:numPr>
        <w:spacing w:before="0" w:after="0"/>
        <w:ind w:right="-65" w:rightChars="-27"/>
        <w:rPr>
          <w:rFonts w:asciiTheme="minorEastAsia" w:hAnsiTheme="minorEastAsia" w:eastAsiaTheme="minorEastAsia"/>
          <w:sz w:val="24"/>
          <w:szCs w:val="24"/>
        </w:rPr>
      </w:pPr>
      <w:r>
        <w:rPr>
          <w:rFonts w:hint="eastAsia" w:asciiTheme="minorEastAsia" w:hAnsiTheme="minorEastAsia" w:eastAsiaTheme="minorEastAsia"/>
          <w:sz w:val="24"/>
          <w:szCs w:val="24"/>
        </w:rPr>
        <w:t>自动干预模式</w:t>
      </w:r>
    </w:p>
    <w:p w14:paraId="4C957AAC">
      <w:pPr>
        <w:autoSpaceDE w:val="0"/>
        <w:autoSpaceDN w:val="0"/>
        <w:adjustRightInd w:val="0"/>
        <w:ind w:right="-65" w:rightChars="-27" w:firstLine="480" w:firstLineChars="200"/>
        <w:rPr>
          <w:rFonts w:cs="Arial" w:asciiTheme="minorEastAsia" w:hAnsiTheme="minorEastAsia"/>
          <w:szCs w:val="24"/>
        </w:rPr>
      </w:pPr>
      <w:r>
        <w:rPr>
          <w:rFonts w:hint="eastAsia" w:cs="Arial" w:asciiTheme="minorEastAsia" w:hAnsiTheme="minorEastAsia"/>
          <w:szCs w:val="24"/>
        </w:rPr>
        <w:t>在所有药师都下班后，无药师审核处方的情况下，若医生端有问题处方，系统会要求医生填写用药理由，处方（医嘱）才可通过进入下一环节。用户可设置医生填写用药理由的模式，对药师干预的问题任选一个填写理由即可通过，还是所有问题均需填写理由。自动干预模式只对监管科室生效，可设置所有监管科室生效或部分监管科室生效。</w:t>
      </w:r>
    </w:p>
    <w:p w14:paraId="1B32490F">
      <w:pPr>
        <w:pStyle w:val="292"/>
        <w:numPr>
          <w:ilvl w:val="1"/>
          <w:numId w:val="40"/>
        </w:numPr>
        <w:spacing w:before="0" w:after="0"/>
        <w:ind w:right="-65" w:rightChars="-27"/>
        <w:rPr>
          <w:rFonts w:asciiTheme="minorEastAsia" w:hAnsiTheme="minorEastAsia" w:eastAsiaTheme="minorEastAsia"/>
          <w:sz w:val="24"/>
          <w:szCs w:val="24"/>
        </w:rPr>
      </w:pPr>
      <w:r>
        <w:rPr>
          <w:rFonts w:hint="eastAsia" w:asciiTheme="minorEastAsia" w:hAnsiTheme="minorEastAsia" w:eastAsiaTheme="minorEastAsia"/>
          <w:sz w:val="24"/>
          <w:szCs w:val="24"/>
        </w:rPr>
        <w:t>问题模板设置</w:t>
      </w:r>
    </w:p>
    <w:p w14:paraId="58CB1247">
      <w:pPr>
        <w:autoSpaceDE w:val="0"/>
        <w:autoSpaceDN w:val="0"/>
        <w:adjustRightInd w:val="0"/>
        <w:ind w:right="-65" w:rightChars="-27" w:firstLine="480" w:firstLineChars="200"/>
        <w:rPr>
          <w:rFonts w:cs="Arial" w:asciiTheme="minorEastAsia" w:hAnsiTheme="minorEastAsia"/>
          <w:szCs w:val="24"/>
        </w:rPr>
      </w:pPr>
      <w:r>
        <w:rPr>
          <w:rFonts w:hint="eastAsia" w:cs="Arial" w:asciiTheme="minorEastAsia" w:hAnsiTheme="minorEastAsia"/>
          <w:szCs w:val="24"/>
        </w:rPr>
        <w:t>用户可预设问题模板，当药师反馈审核意见给医生时可快捷选择，节省时间。</w:t>
      </w:r>
    </w:p>
    <w:p w14:paraId="1C711ABA">
      <w:pPr>
        <w:pStyle w:val="292"/>
        <w:numPr>
          <w:ilvl w:val="1"/>
          <w:numId w:val="40"/>
        </w:numPr>
        <w:spacing w:before="0" w:after="0"/>
        <w:ind w:right="-65" w:rightChars="-27"/>
        <w:rPr>
          <w:rFonts w:asciiTheme="minorEastAsia" w:hAnsiTheme="minorEastAsia" w:eastAsiaTheme="minorEastAsia"/>
          <w:sz w:val="24"/>
          <w:szCs w:val="24"/>
        </w:rPr>
      </w:pPr>
      <w:r>
        <w:rPr>
          <w:rFonts w:hint="eastAsia" w:asciiTheme="minorEastAsia" w:hAnsiTheme="minorEastAsia" w:eastAsiaTheme="minorEastAsia"/>
          <w:sz w:val="24"/>
          <w:szCs w:val="24"/>
        </w:rPr>
        <w:t>问题过滤</w:t>
      </w:r>
    </w:p>
    <w:p w14:paraId="2F524DFF">
      <w:pPr>
        <w:autoSpaceDE w:val="0"/>
        <w:autoSpaceDN w:val="0"/>
        <w:adjustRightInd w:val="0"/>
        <w:ind w:right="-65" w:rightChars="-27" w:firstLine="480" w:firstLineChars="200"/>
        <w:rPr>
          <w:rFonts w:cs="Arial" w:asciiTheme="minorEastAsia" w:hAnsiTheme="minorEastAsia"/>
          <w:szCs w:val="24"/>
        </w:rPr>
      </w:pPr>
      <w:r>
        <w:rPr>
          <w:rFonts w:hint="eastAsia" w:cs="Arial" w:asciiTheme="minorEastAsia" w:hAnsiTheme="minorEastAsia"/>
          <w:szCs w:val="24"/>
        </w:rPr>
        <w:t>用户开启问题过滤后，同一病人当次就诊，若发生了相同的不合理用药问题，则只警示一次。</w:t>
      </w:r>
    </w:p>
    <w:p w14:paraId="7FF3914A">
      <w:pPr>
        <w:pStyle w:val="292"/>
        <w:numPr>
          <w:ilvl w:val="1"/>
          <w:numId w:val="40"/>
        </w:numPr>
        <w:spacing w:before="0" w:after="0"/>
        <w:ind w:right="-65" w:rightChars="-27"/>
        <w:rPr>
          <w:rFonts w:asciiTheme="minorEastAsia" w:hAnsiTheme="minorEastAsia" w:eastAsiaTheme="minorEastAsia"/>
          <w:sz w:val="24"/>
          <w:szCs w:val="24"/>
        </w:rPr>
      </w:pPr>
      <w:r>
        <w:rPr>
          <w:rFonts w:hint="eastAsia" w:asciiTheme="minorEastAsia" w:hAnsiTheme="minorEastAsia" w:eastAsiaTheme="minorEastAsia"/>
          <w:sz w:val="24"/>
          <w:szCs w:val="24"/>
        </w:rPr>
        <w:t>自动获取任务设置</w:t>
      </w:r>
    </w:p>
    <w:p w14:paraId="20F82E93">
      <w:pPr>
        <w:autoSpaceDE w:val="0"/>
        <w:autoSpaceDN w:val="0"/>
        <w:adjustRightInd w:val="0"/>
        <w:ind w:right="-65" w:rightChars="-27" w:firstLine="480" w:firstLineChars="200"/>
        <w:rPr>
          <w:rFonts w:cs="Arial" w:asciiTheme="minorEastAsia" w:hAnsiTheme="minorEastAsia"/>
          <w:szCs w:val="24"/>
        </w:rPr>
      </w:pPr>
      <w:r>
        <w:rPr>
          <w:rFonts w:hint="eastAsia" w:cs="Arial" w:asciiTheme="minorEastAsia" w:hAnsiTheme="minorEastAsia"/>
          <w:szCs w:val="24"/>
        </w:rPr>
        <w:t>用户开启自动获取任务模式，新任务或待确认任务来临后将自动进入药师处置列表，且弹框提示药师处置任务。未开启自动获取任务模式时，需药师手动点击“新任务”或“待确认”的标签来获取任务。</w:t>
      </w:r>
    </w:p>
    <w:p w14:paraId="36B607DD">
      <w:pPr>
        <w:pStyle w:val="292"/>
        <w:numPr>
          <w:ilvl w:val="1"/>
          <w:numId w:val="40"/>
        </w:numPr>
        <w:spacing w:before="0" w:after="0"/>
        <w:ind w:right="-65" w:rightChars="-27"/>
        <w:rPr>
          <w:rFonts w:asciiTheme="minorEastAsia" w:hAnsiTheme="minorEastAsia" w:eastAsiaTheme="minorEastAsia"/>
          <w:sz w:val="24"/>
          <w:szCs w:val="24"/>
        </w:rPr>
      </w:pPr>
      <w:r>
        <w:rPr>
          <w:rFonts w:hint="eastAsia" w:asciiTheme="minorEastAsia" w:hAnsiTheme="minorEastAsia" w:eastAsiaTheme="minorEastAsia"/>
          <w:sz w:val="24"/>
          <w:szCs w:val="24"/>
        </w:rPr>
        <w:t>弹窗提示设置</w:t>
      </w:r>
    </w:p>
    <w:p w14:paraId="4F34BC14">
      <w:pPr>
        <w:autoSpaceDE w:val="0"/>
        <w:autoSpaceDN w:val="0"/>
        <w:adjustRightInd w:val="0"/>
        <w:ind w:right="-65" w:rightChars="-27" w:firstLine="480" w:firstLineChars="200"/>
        <w:rPr>
          <w:rFonts w:cs="Arial" w:asciiTheme="minorEastAsia" w:hAnsiTheme="minorEastAsia"/>
          <w:szCs w:val="24"/>
        </w:rPr>
      </w:pPr>
      <w:r>
        <w:rPr>
          <w:rFonts w:hint="eastAsia" w:cs="Arial" w:asciiTheme="minorEastAsia" w:hAnsiTheme="minorEastAsia"/>
          <w:szCs w:val="24"/>
        </w:rPr>
        <w:t>用户开启弹窗提示后，实时审查的新任务或待确认任务来临时将弹出提示框告知用户，点击提示框中显示的任务，可直接进入任务处置界面。</w:t>
      </w:r>
    </w:p>
    <w:p w14:paraId="6230A6A5">
      <w:pPr>
        <w:pStyle w:val="292"/>
        <w:numPr>
          <w:ilvl w:val="1"/>
          <w:numId w:val="40"/>
        </w:numPr>
        <w:tabs>
          <w:tab w:val="left" w:pos="1134"/>
        </w:tabs>
        <w:spacing w:before="0" w:after="0"/>
        <w:ind w:right="-65" w:rightChars="-27"/>
        <w:rPr>
          <w:rFonts w:asciiTheme="minorEastAsia" w:hAnsiTheme="minorEastAsia" w:eastAsiaTheme="minorEastAsia"/>
          <w:sz w:val="24"/>
          <w:szCs w:val="24"/>
        </w:rPr>
      </w:pPr>
      <w:r>
        <w:rPr>
          <w:rFonts w:hint="eastAsia" w:asciiTheme="minorEastAsia" w:hAnsiTheme="minorEastAsia" w:eastAsiaTheme="minorEastAsia"/>
          <w:sz w:val="24"/>
          <w:szCs w:val="24"/>
        </w:rPr>
        <w:t>使用习惯设置</w:t>
      </w:r>
    </w:p>
    <w:p w14:paraId="78E43155">
      <w:pPr>
        <w:autoSpaceDE w:val="0"/>
        <w:autoSpaceDN w:val="0"/>
        <w:adjustRightInd w:val="0"/>
        <w:ind w:right="-65" w:rightChars="-27" w:firstLine="480" w:firstLineChars="200"/>
        <w:rPr>
          <w:rFonts w:cs="Arial" w:asciiTheme="minorEastAsia" w:hAnsiTheme="minorEastAsia"/>
          <w:szCs w:val="24"/>
        </w:rPr>
      </w:pPr>
      <w:r>
        <w:rPr>
          <w:rFonts w:hint="eastAsia" w:cs="Arial" w:asciiTheme="minorEastAsia" w:hAnsiTheme="minorEastAsia"/>
          <w:szCs w:val="24"/>
        </w:rPr>
        <w:t>用户可设置药师手动获取任务时一次性可获取的任务数量，支持设置1-5个任务。用户可根据使用习惯，设置任务提示音或上传满足格式及大小要求的音频文件作为任务提示音，可设置处置按钮位置、样式以及发送给医生的常用语，可对监测界面字体和颜色进行设置。</w:t>
      </w:r>
    </w:p>
    <w:p w14:paraId="01C1814A">
      <w:pPr>
        <w:pStyle w:val="7"/>
        <w:numPr>
          <w:ilvl w:val="4"/>
          <w:numId w:val="16"/>
        </w:numPr>
      </w:pPr>
      <w:bookmarkStart w:id="366" w:name="_Toc454839192"/>
      <w:bookmarkStart w:id="367" w:name="_Toc454444080"/>
      <w:bookmarkStart w:id="368" w:name="_Toc472602419"/>
      <w:r>
        <w:rPr>
          <w:rFonts w:hint="eastAsia"/>
        </w:rPr>
        <w:t>任务分配功能</w:t>
      </w:r>
      <w:bookmarkEnd w:id="366"/>
      <w:bookmarkEnd w:id="367"/>
      <w:bookmarkEnd w:id="368"/>
    </w:p>
    <w:p w14:paraId="5EB52860">
      <w:pPr>
        <w:pStyle w:val="3"/>
      </w:pPr>
      <w:r>
        <w:rPr>
          <w:rFonts w:hint="eastAsia" w:asciiTheme="minorEastAsia" w:hAnsiTheme="minorEastAsia" w:eastAsiaTheme="minorEastAsia"/>
        </w:rPr>
        <w:t>具备支持以下功能：</w:t>
      </w:r>
    </w:p>
    <w:p w14:paraId="779C2FAC">
      <w:pPr>
        <w:ind w:right="-65" w:rightChars="-27" w:firstLine="480" w:firstLineChars="200"/>
        <w:rPr>
          <w:rFonts w:cs="Arial" w:asciiTheme="minorEastAsia" w:hAnsiTheme="minorEastAsia"/>
          <w:szCs w:val="24"/>
        </w:rPr>
      </w:pPr>
      <w:bookmarkStart w:id="369" w:name="_Toc454839193"/>
      <w:bookmarkStart w:id="370" w:name="_Toc454444081"/>
      <w:r>
        <w:rPr>
          <w:rFonts w:hint="eastAsia" w:cs="Arial" w:asciiTheme="minorEastAsia" w:hAnsiTheme="minorEastAsia"/>
          <w:szCs w:val="24"/>
        </w:rPr>
        <w:t>用户可以根据不同时期的临床管理需要，设置医院现阶段需要进行药师审方干预的科室。若医院有多个药师同时使用系统进行审方工作，为避免任务分配不均等问题，用户可以在系统中为每个药师设置处方（医嘱）来源科室。不同科室处方（医嘱）任务分配给相应负责药师，</w:t>
      </w:r>
      <w:bookmarkStart w:id="371" w:name="_Hlk126941776"/>
      <w:r>
        <w:rPr>
          <w:rFonts w:hint="eastAsia" w:cs="Arial" w:asciiTheme="minorEastAsia" w:hAnsiTheme="minorEastAsia"/>
          <w:szCs w:val="24"/>
        </w:rPr>
        <w:t>若同一科室处方（医嘱）有多个药师负责，则系统随机分配。</w:t>
      </w:r>
      <w:bookmarkEnd w:id="371"/>
    </w:p>
    <w:p w14:paraId="0B52F7FD">
      <w:pPr>
        <w:pStyle w:val="7"/>
        <w:numPr>
          <w:ilvl w:val="4"/>
          <w:numId w:val="16"/>
        </w:numPr>
      </w:pPr>
      <w:bookmarkStart w:id="372" w:name="_Toc472602420"/>
      <w:r>
        <w:rPr>
          <w:rFonts w:hint="eastAsia"/>
        </w:rPr>
        <w:t>统计分析功能</w:t>
      </w:r>
      <w:bookmarkEnd w:id="369"/>
      <w:bookmarkEnd w:id="370"/>
      <w:bookmarkEnd w:id="372"/>
    </w:p>
    <w:p w14:paraId="0B9A74D4">
      <w:pPr>
        <w:pStyle w:val="3"/>
      </w:pPr>
      <w:r>
        <w:rPr>
          <w:rFonts w:hint="eastAsia" w:asciiTheme="minorEastAsia" w:hAnsiTheme="minorEastAsia" w:eastAsiaTheme="minorEastAsia"/>
        </w:rPr>
        <w:t>具备支持以下功能：</w:t>
      </w:r>
    </w:p>
    <w:p w14:paraId="38E982F0">
      <w:pPr>
        <w:autoSpaceDE w:val="0"/>
        <w:autoSpaceDN w:val="0"/>
        <w:adjustRightInd w:val="0"/>
        <w:ind w:right="-65" w:rightChars="-27" w:firstLine="480" w:firstLineChars="200"/>
        <w:rPr>
          <w:rFonts w:cs="Arial" w:asciiTheme="minorEastAsia" w:hAnsiTheme="minorEastAsia"/>
          <w:szCs w:val="24"/>
        </w:rPr>
      </w:pPr>
      <w:bookmarkStart w:id="373" w:name="_Toc454839194"/>
      <w:bookmarkStart w:id="374" w:name="_Toc454444082"/>
      <w:r>
        <w:rPr>
          <w:rFonts w:hint="eastAsia" w:cs="Arial" w:asciiTheme="minorEastAsia" w:hAnsiTheme="minorEastAsia"/>
          <w:szCs w:val="24"/>
        </w:rPr>
        <w:t>系统在药师进行审方干预时，可以对药师审方和干预的过程和结果进行监测，并对监测到的数据进行自动采集和保存，对药师审方干预的工作量和情况提供全面的统计和分析。用户可以根据需要设定统计条件和统计范围，能生成全院、科室、医生的被干预情况统计表、药师工作情况统计表等报表，同时还可以生成统计图，为药师绩效管理以及医院的相关部门分析管理药师审方干预情况提供依据。</w:t>
      </w:r>
      <w:bookmarkEnd w:id="373"/>
      <w:bookmarkEnd w:id="374"/>
    </w:p>
    <w:p w14:paraId="65C905D8">
      <w:pPr>
        <w:pStyle w:val="7"/>
        <w:numPr>
          <w:ilvl w:val="4"/>
          <w:numId w:val="16"/>
        </w:numPr>
      </w:pPr>
      <w:r>
        <w:rPr>
          <w:rFonts w:hint="eastAsia"/>
        </w:rPr>
        <w:t>门诊（住院）查询功能</w:t>
      </w:r>
    </w:p>
    <w:p w14:paraId="45AEC302">
      <w:pPr>
        <w:pStyle w:val="3"/>
      </w:pPr>
      <w:r>
        <w:rPr>
          <w:rFonts w:hint="eastAsia" w:asciiTheme="minorEastAsia" w:hAnsiTheme="minorEastAsia" w:eastAsiaTheme="minorEastAsia"/>
        </w:rPr>
        <w:t>具备支持以下功能：</w:t>
      </w:r>
    </w:p>
    <w:p w14:paraId="4ABC526C">
      <w:pPr>
        <w:ind w:right="-65" w:rightChars="-27" w:firstLine="600" w:firstLineChars="250"/>
        <w:rPr>
          <w:rFonts w:cs="Arial" w:asciiTheme="minorEastAsia" w:hAnsiTheme="minorEastAsia"/>
          <w:szCs w:val="24"/>
        </w:rPr>
      </w:pPr>
      <w:r>
        <w:rPr>
          <w:rFonts w:hint="eastAsia" w:cs="Arial" w:asciiTheme="minorEastAsia" w:hAnsiTheme="minorEastAsia"/>
          <w:szCs w:val="24"/>
        </w:rPr>
        <w:t>用户可以查看门诊（住院）历史通过任务的详细信息及提交时间。支持按时间线的形式查看单个任务流程，并能通过查看药师审方干预的详细记录对每张处方（医嘱）的干预过程进行回顾研究。</w:t>
      </w:r>
    </w:p>
    <w:p w14:paraId="57584C82">
      <w:pPr>
        <w:pStyle w:val="7"/>
        <w:numPr>
          <w:ilvl w:val="4"/>
          <w:numId w:val="16"/>
        </w:numPr>
      </w:pPr>
      <w:bookmarkStart w:id="375" w:name="_Toc472602421"/>
      <w:r>
        <w:rPr>
          <w:rFonts w:hint="eastAsia"/>
        </w:rPr>
        <w:t>质量评价</w:t>
      </w:r>
    </w:p>
    <w:p w14:paraId="262726D2">
      <w:pPr>
        <w:pStyle w:val="3"/>
      </w:pPr>
      <w:r>
        <w:rPr>
          <w:rFonts w:hint="eastAsia" w:asciiTheme="minorEastAsia" w:hAnsiTheme="minorEastAsia" w:eastAsiaTheme="minorEastAsia"/>
        </w:rPr>
        <w:t>具备支持以下功能：</w:t>
      </w:r>
    </w:p>
    <w:p w14:paraId="21592E4E">
      <w:pPr>
        <w:ind w:right="-65" w:rightChars="-27" w:firstLine="480" w:firstLineChars="200"/>
        <w:rPr>
          <w:rFonts w:cs="Arial" w:asciiTheme="minorEastAsia" w:hAnsiTheme="minorEastAsia"/>
          <w:szCs w:val="24"/>
        </w:rPr>
      </w:pPr>
      <w:r>
        <w:rPr>
          <w:rFonts w:hint="eastAsia" w:cs="Arial" w:asciiTheme="minorEastAsia" w:hAnsiTheme="minorEastAsia"/>
          <w:szCs w:val="24"/>
        </w:rPr>
        <w:t>高级别药师可对较低级别药师已完成的审核任务进行评价打分。系统可提供多种抽样条件和抽样方式进行任务筛选，生成评分表。</w:t>
      </w:r>
    </w:p>
    <w:p w14:paraId="749686E4">
      <w:pPr>
        <w:ind w:right="-65" w:rightChars="-27" w:firstLine="480" w:firstLineChars="200"/>
      </w:pPr>
      <w:r>
        <w:rPr>
          <w:rFonts w:hint="eastAsia" w:cs="Arial" w:asciiTheme="minorEastAsia" w:hAnsiTheme="minorEastAsia"/>
          <w:szCs w:val="24"/>
        </w:rPr>
        <w:t>高级别药师可对历史审核任务中相同用药问题的处置操作进行一致性评价，评估出推荐的处置方案。当审方药师遇到相同问题时，系统将提示该问题的推荐处置方案，供药师参考。</w:t>
      </w:r>
      <w:bookmarkEnd w:id="375"/>
    </w:p>
    <w:p w14:paraId="7B6DE20E">
      <w:pPr>
        <w:pStyle w:val="5"/>
        <w:numPr>
          <w:ilvl w:val="2"/>
          <w:numId w:val="16"/>
        </w:numPr>
      </w:pPr>
      <w:bookmarkStart w:id="376" w:name="_Toc202539079"/>
      <w:r>
        <w:rPr>
          <w:rFonts w:hint="eastAsia"/>
        </w:rPr>
        <w:t>区域慢病管理中心</w:t>
      </w:r>
      <w:bookmarkEnd w:id="376"/>
    </w:p>
    <w:p w14:paraId="4680B305">
      <w:pPr>
        <w:pStyle w:val="6"/>
        <w:numPr>
          <w:ilvl w:val="3"/>
          <w:numId w:val="16"/>
        </w:numPr>
      </w:pPr>
      <w:bookmarkStart w:id="377" w:name="_Toc7816"/>
      <w:bookmarkStart w:id="378" w:name="_Hlk193969605"/>
      <w:bookmarkStart w:id="379" w:name="_Toc131066813"/>
      <w:r>
        <w:rPr>
          <w:rFonts w:hint="eastAsia"/>
        </w:rPr>
        <w:t>健康管理中心平台</w:t>
      </w:r>
    </w:p>
    <w:p w14:paraId="13C7F0B4">
      <w:pPr>
        <w:pStyle w:val="7"/>
        <w:numPr>
          <w:ilvl w:val="4"/>
          <w:numId w:val="16"/>
        </w:numPr>
      </w:pPr>
      <w:r>
        <w:rPr>
          <w:rFonts w:hint="eastAsia"/>
        </w:rPr>
        <w:t>机构管理</w:t>
      </w:r>
    </w:p>
    <w:p w14:paraId="567A307E">
      <w:pPr>
        <w:pStyle w:val="3"/>
      </w:pPr>
      <w:r>
        <w:rPr>
          <w:rFonts w:hint="eastAsia" w:asciiTheme="minorEastAsia" w:hAnsiTheme="minorEastAsia" w:eastAsiaTheme="minorEastAsia"/>
        </w:rPr>
        <w:t>具备支持以下功能：</w:t>
      </w:r>
    </w:p>
    <w:p w14:paraId="29813303">
      <w:pPr>
        <w:ind w:right="-65" w:rightChars="-27" w:firstLine="480" w:firstLineChars="200"/>
        <w:rPr>
          <w:rFonts w:cs="Arial" w:asciiTheme="minorEastAsia" w:hAnsiTheme="minorEastAsia"/>
          <w:szCs w:val="24"/>
        </w:rPr>
      </w:pPr>
      <w:r>
        <w:rPr>
          <w:rFonts w:hint="eastAsia" w:cs="Arial" w:asciiTheme="minorEastAsia" w:hAnsiTheme="minorEastAsia"/>
          <w:szCs w:val="24"/>
        </w:rPr>
        <w:t>机构的基础信息展示</w:t>
      </w:r>
      <w:r>
        <w:rPr>
          <w:rFonts w:cs="Arial" w:asciiTheme="minorEastAsia" w:hAnsiTheme="minorEastAsia"/>
          <w:szCs w:val="24"/>
        </w:rPr>
        <w:t>：</w:t>
      </w:r>
      <w:r>
        <w:rPr>
          <w:rFonts w:hint="eastAsia" w:cs="Arial" w:asciiTheme="minorEastAsia" w:hAnsiTheme="minorEastAsia"/>
          <w:szCs w:val="24"/>
        </w:rPr>
        <w:t>在构建医疗卫生服务体系的过程中，为确保各层级医疗服务机构的规范性与完整性，特此规定新增医疗机构时，须详细录入以下关键信息：机构全称、机构类别（包括但不限于村卫生室、卫生院、人民医院等），以及机构负责人等相关资料。此举旨在进一步提升我国医疗卫生机构的管理水平和服务质量，确保各机构在正式运营前具备完善的组织架构和管理体系。</w:t>
      </w:r>
    </w:p>
    <w:p w14:paraId="009B679F">
      <w:pPr>
        <w:ind w:right="-65" w:rightChars="-27" w:firstLine="480" w:firstLineChars="200"/>
        <w:rPr>
          <w:rFonts w:cs="Arial" w:asciiTheme="minorEastAsia" w:hAnsiTheme="minorEastAsia"/>
          <w:szCs w:val="24"/>
        </w:rPr>
      </w:pPr>
      <w:r>
        <w:rPr>
          <w:rFonts w:hint="eastAsia" w:cs="Arial" w:asciiTheme="minorEastAsia" w:hAnsiTheme="minorEastAsia"/>
          <w:szCs w:val="24"/>
        </w:rPr>
        <w:t>机构信息支持直接按照名称模糊查找：为便于高效检索和管理医疗卫生服务机构信息，系统已实现基于机构名称的模糊查询功能。通过此功能，用户可依据部分或全部机构名称进行搜索，以获取相应机构的详细信息及其下辖账户的相关数据。此举旨在提升信息查询的灵活性和便捷性，确保管理人员能够迅速准确地掌握各医疗机构的全面信息，从而加强机构账户的管理与监督。</w:t>
      </w:r>
    </w:p>
    <w:p w14:paraId="311B56EA">
      <w:pPr>
        <w:ind w:right="-65" w:rightChars="-27" w:firstLine="480" w:firstLineChars="200"/>
        <w:rPr>
          <w:rFonts w:cs="Arial" w:asciiTheme="minorEastAsia" w:hAnsiTheme="minorEastAsia"/>
          <w:szCs w:val="24"/>
        </w:rPr>
      </w:pPr>
      <w:r>
        <w:rPr>
          <w:rFonts w:hint="eastAsia" w:cs="Arial" w:asciiTheme="minorEastAsia" w:hAnsiTheme="minorEastAsia"/>
          <w:szCs w:val="24"/>
        </w:rPr>
        <w:t>机构角色设置：在精细化管理的要求下，系统支持在医疗机构内部为具体员工单独配置权限。此举旨在确保每位员工根据其职责范围和工作需求，获得相应的操作权限，从而保障机构信息系统的安全性和数据处理的准确性。通过此权限设置功能，机构管理者能够灵活分配职能，有效控制员工对系统资源的访问，进一步促进内部管理流程的规范化和高效化。</w:t>
      </w:r>
    </w:p>
    <w:p w14:paraId="5A0FB952">
      <w:pPr>
        <w:ind w:right="-65" w:rightChars="-27" w:firstLine="480" w:firstLineChars="200"/>
        <w:rPr>
          <w:rFonts w:cs="Arial" w:asciiTheme="minorEastAsia" w:hAnsiTheme="minorEastAsia"/>
          <w:szCs w:val="24"/>
        </w:rPr>
      </w:pPr>
      <w:r>
        <w:rPr>
          <w:rFonts w:hint="eastAsia" w:cs="Arial" w:asciiTheme="minorEastAsia" w:hAnsiTheme="minorEastAsia"/>
          <w:szCs w:val="24"/>
        </w:rPr>
        <w:t>机构信息新增、编辑、修改：为了维护医疗卫生服务机构信息的准确性与时效性，系统提供了对机构基础信息进行新增与修改的功能。该功能允许授权用户对机构的注册信息进行必要的更新，包括但不限于机构名称、类型、负责人、联系方式、地址等关键数据。通过此操作，确保了机构信息的动态管理，以便及时反映机构的发展变化，为决策提供准确的数据支持，同时也有助于提升整体医疗服务体系的透明度和公信力。</w:t>
      </w:r>
    </w:p>
    <w:bookmarkEnd w:id="377"/>
    <w:p w14:paraId="0E02DC27">
      <w:pPr>
        <w:pStyle w:val="7"/>
        <w:numPr>
          <w:ilvl w:val="4"/>
          <w:numId w:val="16"/>
        </w:numPr>
      </w:pPr>
      <w:bookmarkStart w:id="380" w:name="_Toc1836"/>
      <w:bookmarkStart w:id="381" w:name="_Toc22454"/>
      <w:bookmarkStart w:id="382" w:name="_Toc340"/>
      <w:bookmarkStart w:id="383" w:name="_Toc25184"/>
      <w:r>
        <w:rPr>
          <w:rFonts w:hint="eastAsia"/>
        </w:rPr>
        <w:t>居民信息管理</w:t>
      </w:r>
      <w:bookmarkEnd w:id="380"/>
      <w:bookmarkEnd w:id="381"/>
      <w:bookmarkEnd w:id="382"/>
      <w:bookmarkEnd w:id="383"/>
    </w:p>
    <w:p w14:paraId="7383FBB0">
      <w:pPr>
        <w:pStyle w:val="8"/>
        <w:numPr>
          <w:ilvl w:val="5"/>
          <w:numId w:val="16"/>
        </w:numPr>
        <w:rPr>
          <w:szCs w:val="28"/>
        </w:rPr>
      </w:pPr>
      <w:r>
        <w:rPr>
          <w:rFonts w:hint="eastAsia"/>
          <w:szCs w:val="28"/>
        </w:rPr>
        <w:t>居民列表展示</w:t>
      </w:r>
    </w:p>
    <w:p w14:paraId="4A086DBD">
      <w:pPr>
        <w:pStyle w:val="3"/>
      </w:pPr>
      <w:r>
        <w:rPr>
          <w:rFonts w:hint="eastAsia" w:asciiTheme="minorEastAsia" w:hAnsiTheme="minorEastAsia" w:eastAsiaTheme="minorEastAsia"/>
        </w:rPr>
        <w:t>具备支持以下功能：</w:t>
      </w:r>
    </w:p>
    <w:p w14:paraId="31A7F0E4">
      <w:pPr>
        <w:ind w:right="-65" w:rightChars="-27" w:firstLine="480" w:firstLineChars="200"/>
        <w:rPr>
          <w:rFonts w:cs="Arial" w:asciiTheme="minorEastAsia" w:hAnsiTheme="minorEastAsia"/>
          <w:szCs w:val="24"/>
        </w:rPr>
      </w:pPr>
      <w:r>
        <w:rPr>
          <w:rFonts w:hint="eastAsia" w:cs="Arial" w:asciiTheme="minorEastAsia" w:hAnsiTheme="minorEastAsia"/>
          <w:szCs w:val="24"/>
        </w:rPr>
        <w:t>在构建全面的居民健康管理体系中，系统精心设计了一份详尽的居民列表，该列表综合收录了居民的基本信息、健康状况、医疗服务关系等多个维度的数据。具体内容包括：</w:t>
      </w:r>
    </w:p>
    <w:p w14:paraId="06F16548">
      <w:pPr>
        <w:ind w:right="-65" w:rightChars="-27" w:firstLine="480" w:firstLineChars="200"/>
        <w:rPr>
          <w:rFonts w:cs="Arial" w:asciiTheme="minorEastAsia" w:hAnsiTheme="minorEastAsia"/>
          <w:szCs w:val="24"/>
        </w:rPr>
      </w:pPr>
      <w:r>
        <w:rPr>
          <w:rFonts w:hint="eastAsia" w:cs="Arial" w:asciiTheme="minorEastAsia" w:hAnsiTheme="minorEastAsia"/>
          <w:szCs w:val="24"/>
        </w:rPr>
        <w:t>基本信息模块：记录了居民的个人资料，如姓名、性别、年龄、身份证号码、住址等，为健康管理提供基础数据支撑。</w:t>
      </w:r>
    </w:p>
    <w:p w14:paraId="1B7E897B">
      <w:pPr>
        <w:ind w:right="-65" w:rightChars="-27" w:firstLine="480" w:firstLineChars="200"/>
        <w:rPr>
          <w:rFonts w:cs="Arial" w:asciiTheme="minorEastAsia" w:hAnsiTheme="minorEastAsia"/>
          <w:szCs w:val="24"/>
        </w:rPr>
      </w:pPr>
      <w:r>
        <w:rPr>
          <w:rFonts w:hint="eastAsia" w:cs="Arial" w:asciiTheme="minorEastAsia" w:hAnsiTheme="minorEastAsia"/>
          <w:szCs w:val="24"/>
        </w:rPr>
        <w:t>慢病标签：根据居民的病史和健康状况，系统自动或手动为居民标记相应的慢病标签，如高血压、糖尿病老年人、慢阻肺等，以便于医疗人员提供针对性的健康管理服务。</w:t>
      </w:r>
    </w:p>
    <w:p w14:paraId="56838B14">
      <w:pPr>
        <w:ind w:right="-65" w:rightChars="-27" w:firstLine="480" w:firstLineChars="200"/>
        <w:rPr>
          <w:rFonts w:cs="Arial" w:asciiTheme="minorEastAsia" w:hAnsiTheme="minorEastAsia"/>
          <w:szCs w:val="24"/>
        </w:rPr>
      </w:pPr>
      <w:r>
        <w:rPr>
          <w:rFonts w:hint="eastAsia" w:cs="Arial" w:asciiTheme="minorEastAsia" w:hAnsiTheme="minorEastAsia"/>
          <w:szCs w:val="24"/>
        </w:rPr>
        <w:t>所属机构信息：明确指出居民所注册或就诊的医疗卫生服务机构，便于追踪和管理居民的健康档案，以及优化资源配置。</w:t>
      </w:r>
    </w:p>
    <w:p w14:paraId="36A760BF">
      <w:pPr>
        <w:ind w:right="-65" w:rightChars="-27" w:firstLine="480" w:firstLineChars="200"/>
        <w:rPr>
          <w:rFonts w:cs="Arial" w:asciiTheme="minorEastAsia" w:hAnsiTheme="minorEastAsia"/>
          <w:szCs w:val="24"/>
        </w:rPr>
      </w:pPr>
      <w:r>
        <w:rPr>
          <w:rFonts w:hint="eastAsia" w:cs="Arial" w:asciiTheme="minorEastAsia" w:hAnsiTheme="minorEastAsia"/>
          <w:szCs w:val="24"/>
        </w:rPr>
        <w:t>来源记录：记载居民信息的数据来源，如社区登记、医院就诊、健康体检等，有助于分析居民健康信息的可靠性和完整性。</w:t>
      </w:r>
    </w:p>
    <w:p w14:paraId="3A6434E2">
      <w:pPr>
        <w:ind w:right="-65" w:rightChars="-27" w:firstLine="480" w:firstLineChars="200"/>
        <w:rPr>
          <w:rFonts w:cs="Arial" w:asciiTheme="minorEastAsia" w:hAnsiTheme="minorEastAsia"/>
          <w:szCs w:val="24"/>
        </w:rPr>
      </w:pPr>
      <w:r>
        <w:rPr>
          <w:rFonts w:hint="eastAsia" w:cs="Arial" w:asciiTheme="minorEastAsia" w:hAnsiTheme="minorEastAsia"/>
          <w:szCs w:val="24"/>
        </w:rPr>
        <w:t>依从性评估：通过对居民就诊、用药、生活习惯等方面的数据分析，评估居民对医疗建议和健康管理计划的遵守程度，为提升医疗服务效果提供参考。</w:t>
      </w:r>
    </w:p>
    <w:p w14:paraId="283FEC6A">
      <w:pPr>
        <w:ind w:right="-65" w:rightChars="-27" w:firstLine="480" w:firstLineChars="200"/>
        <w:rPr>
          <w:rFonts w:cs="Arial" w:asciiTheme="minorEastAsia" w:hAnsiTheme="minorEastAsia"/>
          <w:szCs w:val="24"/>
        </w:rPr>
      </w:pPr>
      <w:r>
        <w:rPr>
          <w:rFonts w:hint="eastAsia" w:cs="Arial" w:asciiTheme="minorEastAsia" w:hAnsiTheme="minorEastAsia"/>
          <w:szCs w:val="24"/>
        </w:rPr>
        <w:t>此居民列表的设计旨在为医疗卫生工作者提供一个全面、多维度的健康管理工具，以便更好地监测居民健康状况，实施精准医疗，提高服务质量，最终达到提升居民健康水平的目的。</w:t>
      </w:r>
    </w:p>
    <w:p w14:paraId="58421BC9">
      <w:pPr>
        <w:pStyle w:val="8"/>
        <w:numPr>
          <w:ilvl w:val="5"/>
          <w:numId w:val="16"/>
        </w:numPr>
      </w:pPr>
      <w:r>
        <w:rPr>
          <w:rFonts w:hint="eastAsia"/>
        </w:rPr>
        <w:t>新增居民信息</w:t>
      </w:r>
    </w:p>
    <w:p w14:paraId="3C194DBB">
      <w:pPr>
        <w:pStyle w:val="3"/>
      </w:pPr>
      <w:r>
        <w:rPr>
          <w:rFonts w:hint="eastAsia" w:asciiTheme="minorEastAsia" w:hAnsiTheme="minorEastAsia" w:eastAsiaTheme="minorEastAsia"/>
        </w:rPr>
        <w:t>具备支持以下功能：</w:t>
      </w:r>
    </w:p>
    <w:p w14:paraId="76ACA6F2">
      <w:pPr>
        <w:ind w:right="-65" w:rightChars="-27" w:firstLine="480" w:firstLineChars="200"/>
        <w:rPr>
          <w:rFonts w:cs="Arial" w:asciiTheme="minorEastAsia" w:hAnsiTheme="minorEastAsia"/>
          <w:szCs w:val="24"/>
        </w:rPr>
      </w:pPr>
      <w:r>
        <w:rPr>
          <w:rFonts w:hint="eastAsia" w:cs="Arial" w:asciiTheme="minorEastAsia" w:hAnsiTheme="minorEastAsia"/>
          <w:szCs w:val="24"/>
        </w:rPr>
        <w:t>为了优化居民健康信息的采集与整合流程，系统提供了多元化的信息录入渠道。居民信息可通过以下两种方式进行添加与同步：</w:t>
      </w:r>
    </w:p>
    <w:p w14:paraId="2AF44AA8">
      <w:pPr>
        <w:ind w:right="-65" w:rightChars="-27" w:firstLine="480" w:firstLineChars="200"/>
        <w:rPr>
          <w:rFonts w:cs="Arial" w:asciiTheme="minorEastAsia" w:hAnsiTheme="minorEastAsia"/>
          <w:szCs w:val="24"/>
        </w:rPr>
      </w:pPr>
      <w:r>
        <w:rPr>
          <w:rFonts w:hint="eastAsia" w:cs="Arial" w:asciiTheme="minorEastAsia" w:hAnsiTheme="minorEastAsia"/>
          <w:szCs w:val="24"/>
        </w:rPr>
        <w:t>平台直接添加：授权的健康管理人员可在系统平台上直接录入居民的基本信息、健康状况等档案资料。此方式确保了信息录入的专业性和准确性，便于医疗机构进行统一管理和分析。</w:t>
      </w:r>
    </w:p>
    <w:p w14:paraId="1917100F">
      <w:pPr>
        <w:ind w:right="-65" w:rightChars="-27" w:firstLine="480" w:firstLineChars="200"/>
        <w:rPr>
          <w:rFonts w:cs="Arial" w:asciiTheme="minorEastAsia" w:hAnsiTheme="minorEastAsia"/>
          <w:szCs w:val="24"/>
        </w:rPr>
      </w:pPr>
      <w:r>
        <w:rPr>
          <w:rFonts w:hint="eastAsia" w:cs="Arial" w:asciiTheme="minorEastAsia" w:hAnsiTheme="minorEastAsia"/>
          <w:szCs w:val="24"/>
        </w:rPr>
        <w:t>小程序自助填写：居民亦可利用便捷的小程序自助填写个人健康档案。该小程序设计人性化，操作简便，旨在鼓励居民积极参与自身健康管理，提高信息录入的自主性和及时性。</w:t>
      </w:r>
    </w:p>
    <w:p w14:paraId="16E4ECAB">
      <w:pPr>
        <w:pStyle w:val="8"/>
        <w:numPr>
          <w:ilvl w:val="5"/>
          <w:numId w:val="16"/>
        </w:numPr>
      </w:pPr>
      <w:r>
        <w:rPr>
          <w:rFonts w:hint="eastAsia"/>
        </w:rPr>
        <w:t>对慢病人群进行判定</w:t>
      </w:r>
    </w:p>
    <w:p w14:paraId="2CC017DD">
      <w:pPr>
        <w:pStyle w:val="3"/>
      </w:pPr>
      <w:r>
        <w:rPr>
          <w:rFonts w:hint="eastAsia" w:asciiTheme="minorEastAsia" w:hAnsiTheme="minorEastAsia" w:eastAsiaTheme="minorEastAsia"/>
        </w:rPr>
        <w:t>具备支持以下功能：</w:t>
      </w:r>
    </w:p>
    <w:p w14:paraId="36C139A1">
      <w:pPr>
        <w:ind w:right="-65" w:rightChars="-27" w:firstLine="480" w:firstLineChars="200"/>
        <w:rPr>
          <w:rFonts w:cs="Arial" w:asciiTheme="minorEastAsia" w:hAnsiTheme="minorEastAsia"/>
          <w:szCs w:val="24"/>
        </w:rPr>
      </w:pPr>
      <w:r>
        <w:rPr>
          <w:rFonts w:hint="eastAsia" w:cs="Arial" w:asciiTheme="minorEastAsia" w:hAnsiTheme="minorEastAsia"/>
          <w:szCs w:val="24"/>
        </w:rPr>
        <w:t>为了提升慢病管理的专业性和有效性，系统采用精细化判定方法，对慢病人群进行深入分析与分类。具体判定内容包括：</w:t>
      </w:r>
    </w:p>
    <w:p w14:paraId="2E9F6D7A">
      <w:pPr>
        <w:ind w:right="-65" w:rightChars="-27" w:firstLine="480" w:firstLineChars="200"/>
        <w:rPr>
          <w:rFonts w:cs="Arial" w:asciiTheme="minorEastAsia" w:hAnsiTheme="minorEastAsia"/>
          <w:szCs w:val="24"/>
        </w:rPr>
      </w:pPr>
      <w:r>
        <w:rPr>
          <w:rFonts w:hint="eastAsia" w:cs="Arial" w:asciiTheme="minorEastAsia" w:hAnsiTheme="minorEastAsia"/>
          <w:szCs w:val="24"/>
        </w:rPr>
        <w:t>高血压等级判定：根据国际通行的血压分类标准，系统将自动对居民的高血压状况进行分级，包括正常血压、高血压1级、高血压2级和高血压3级，以便于医疗人员根据不同等级采取相应的治疗和管理措施。</w:t>
      </w:r>
    </w:p>
    <w:p w14:paraId="2277D5E6">
      <w:pPr>
        <w:ind w:right="-65" w:rightChars="-27" w:firstLine="480" w:firstLineChars="200"/>
        <w:rPr>
          <w:rFonts w:cs="Arial" w:asciiTheme="minorEastAsia" w:hAnsiTheme="minorEastAsia"/>
          <w:szCs w:val="24"/>
        </w:rPr>
      </w:pPr>
      <w:r>
        <w:rPr>
          <w:rFonts w:hint="eastAsia" w:cs="Arial" w:asciiTheme="minorEastAsia" w:hAnsiTheme="minorEastAsia"/>
          <w:szCs w:val="24"/>
        </w:rPr>
        <w:t>危险因素评估：系统综合评估居民存在的危险因素，如年龄、性别、家族史、吸烟、饮酒、肥胖、血脂异常等，为制定个性化健康管理方案提供依据。</w:t>
      </w:r>
    </w:p>
    <w:p w14:paraId="33651F52">
      <w:pPr>
        <w:ind w:right="-65" w:rightChars="-27" w:firstLine="480" w:firstLineChars="200"/>
        <w:rPr>
          <w:rFonts w:cs="Arial" w:asciiTheme="minorEastAsia" w:hAnsiTheme="minorEastAsia"/>
          <w:szCs w:val="24"/>
        </w:rPr>
      </w:pPr>
      <w:r>
        <w:rPr>
          <w:rFonts w:hint="eastAsia" w:cs="Arial" w:asciiTheme="minorEastAsia" w:hAnsiTheme="minorEastAsia"/>
          <w:szCs w:val="24"/>
        </w:rPr>
        <w:t>靶器官损坏情况：通过对居民的心、脑、肾等靶器官的功能检查结果进行分析，判定是否存在器官损伤，从而为慢病患者的治疗和预后提供重要参考。</w:t>
      </w:r>
    </w:p>
    <w:p w14:paraId="2CEDDFBA">
      <w:pPr>
        <w:ind w:right="-65" w:rightChars="-27" w:firstLine="480" w:firstLineChars="200"/>
        <w:rPr>
          <w:rFonts w:cs="Arial" w:asciiTheme="minorEastAsia" w:hAnsiTheme="minorEastAsia"/>
          <w:szCs w:val="24"/>
        </w:rPr>
      </w:pPr>
      <w:r>
        <w:rPr>
          <w:rFonts w:hint="eastAsia" w:cs="Arial" w:asciiTheme="minorEastAsia" w:hAnsiTheme="minorEastAsia"/>
          <w:szCs w:val="24"/>
        </w:rPr>
        <w:t>糖尿病类型分类：系统根据居民的血糖水平、胰岛素分泌情况、抗体检测等指标，将糖尿病分为1型糖尿病、2型糖尿病、妊娠糖尿病和其他特殊类型糖尿病，以便于实施针对性的治疗和监测。</w:t>
      </w:r>
    </w:p>
    <w:p w14:paraId="651F601E">
      <w:pPr>
        <w:ind w:right="-65" w:rightChars="-27" w:firstLine="480" w:firstLineChars="200"/>
        <w:rPr>
          <w:rFonts w:cs="Arial" w:asciiTheme="minorEastAsia" w:hAnsiTheme="minorEastAsia"/>
          <w:szCs w:val="24"/>
        </w:rPr>
      </w:pPr>
      <w:r>
        <w:rPr>
          <w:rFonts w:hint="eastAsia" w:cs="Arial" w:asciiTheme="minorEastAsia" w:hAnsiTheme="minorEastAsia"/>
          <w:szCs w:val="24"/>
        </w:rPr>
        <w:t>通过这种精细化的慢病人群判定，医疗人员能够更加准确地把握患者的病情，制定出科学、合理的治疗方案，从而有效提高慢病管理的质量和效率，降低慢病并发症的风险。</w:t>
      </w:r>
    </w:p>
    <w:p w14:paraId="06170669">
      <w:pPr>
        <w:pStyle w:val="8"/>
        <w:numPr>
          <w:ilvl w:val="5"/>
          <w:numId w:val="16"/>
        </w:numPr>
      </w:pPr>
      <w:r>
        <w:rPr>
          <w:rFonts w:hint="eastAsia"/>
        </w:rPr>
        <w:t>居民信息编辑以及删除</w:t>
      </w:r>
    </w:p>
    <w:p w14:paraId="526201CE">
      <w:pPr>
        <w:pStyle w:val="3"/>
      </w:pPr>
      <w:r>
        <w:rPr>
          <w:rFonts w:hint="eastAsia" w:asciiTheme="minorEastAsia" w:hAnsiTheme="minorEastAsia" w:eastAsiaTheme="minorEastAsia"/>
        </w:rPr>
        <w:t>具备支持以下功能：</w:t>
      </w:r>
    </w:p>
    <w:p w14:paraId="7A613B9A">
      <w:pPr>
        <w:ind w:right="-65" w:rightChars="-27" w:firstLine="480" w:firstLineChars="200"/>
        <w:rPr>
          <w:rFonts w:cs="Arial" w:asciiTheme="minorEastAsia" w:hAnsiTheme="minorEastAsia"/>
          <w:szCs w:val="24"/>
        </w:rPr>
      </w:pPr>
      <w:r>
        <w:rPr>
          <w:rFonts w:hint="eastAsia" w:cs="Arial" w:asciiTheme="minorEastAsia" w:hAnsiTheme="minorEastAsia"/>
          <w:szCs w:val="24"/>
        </w:rPr>
        <w:t>为确保居民健康信息的准确性与时效性，系统为医疗工作人员提供了信息修正与删除的功能。具体操作流程如下：</w:t>
      </w:r>
    </w:p>
    <w:p w14:paraId="00A32AC1">
      <w:pPr>
        <w:ind w:right="-65" w:rightChars="-27" w:firstLine="480" w:firstLineChars="200"/>
        <w:rPr>
          <w:rFonts w:cs="Arial" w:asciiTheme="minorEastAsia" w:hAnsiTheme="minorEastAsia"/>
          <w:szCs w:val="24"/>
        </w:rPr>
      </w:pPr>
      <w:r>
        <w:rPr>
          <w:rFonts w:hint="eastAsia" w:cs="Arial" w:asciiTheme="minorEastAsia" w:hAnsiTheme="minorEastAsia"/>
          <w:szCs w:val="24"/>
        </w:rPr>
        <w:t>信息修改：当发现居民个人信息、健康状况、慢病判定结果等数据存在误差或更新需求时，医疗工作人员可通过系统内置的编辑功能，对相关数据进行修正。修改过程中，系统将记录操作日志，确保信息变更的可追溯性。</w:t>
      </w:r>
    </w:p>
    <w:p w14:paraId="4D304CDF">
      <w:pPr>
        <w:ind w:right="-65" w:rightChars="-27" w:firstLine="480" w:firstLineChars="200"/>
        <w:rPr>
          <w:rFonts w:cs="Arial" w:asciiTheme="minorEastAsia" w:hAnsiTheme="minorEastAsia"/>
          <w:szCs w:val="24"/>
        </w:rPr>
      </w:pPr>
      <w:r>
        <w:rPr>
          <w:rFonts w:hint="eastAsia" w:cs="Arial" w:asciiTheme="minorEastAsia" w:hAnsiTheme="minorEastAsia"/>
          <w:szCs w:val="24"/>
        </w:rPr>
        <w:t>信息删除：在特定情况下，若居民信息因录入错误或其他原因需要彻底删除，医疗工作人员可在遵循相关数据保护规定的前提下，执行删除操作。系统将对此类操作进行严格审核，确保信息删除的合理性与合法性。</w:t>
      </w:r>
    </w:p>
    <w:p w14:paraId="2DC30F17">
      <w:pPr>
        <w:ind w:right="-65" w:rightChars="-27" w:firstLine="480" w:firstLineChars="200"/>
        <w:rPr>
          <w:rFonts w:cs="Arial" w:asciiTheme="minorEastAsia" w:hAnsiTheme="minorEastAsia"/>
          <w:szCs w:val="24"/>
        </w:rPr>
      </w:pPr>
      <w:r>
        <w:rPr>
          <w:rFonts w:hint="eastAsia" w:cs="Arial" w:asciiTheme="minorEastAsia" w:hAnsiTheme="minorEastAsia"/>
          <w:szCs w:val="24"/>
        </w:rPr>
        <w:t>系统设计以上功能，旨在保障居民健康信息的真实性、完整性和安全性，同时，也体现了我们对居民隐私保护的高度重视。通过这些措施，我们能够更好地维护居民的健康权益，提升医疗服务体系的整体服务质量。</w:t>
      </w:r>
    </w:p>
    <w:p w14:paraId="6BE74D37">
      <w:pPr>
        <w:pStyle w:val="8"/>
        <w:numPr>
          <w:ilvl w:val="5"/>
          <w:numId w:val="16"/>
        </w:numPr>
      </w:pPr>
      <w:r>
        <w:rPr>
          <w:rFonts w:hint="eastAsia"/>
        </w:rPr>
        <w:t>居民档案详细信息</w:t>
      </w:r>
    </w:p>
    <w:p w14:paraId="21B7A1D9">
      <w:pPr>
        <w:pStyle w:val="3"/>
      </w:pPr>
      <w:r>
        <w:rPr>
          <w:rFonts w:hint="eastAsia" w:asciiTheme="minorEastAsia" w:hAnsiTheme="minorEastAsia" w:eastAsiaTheme="minorEastAsia"/>
        </w:rPr>
        <w:t>具备支持以下功能：</w:t>
      </w:r>
    </w:p>
    <w:p w14:paraId="766C4D9D">
      <w:pPr>
        <w:ind w:right="-65" w:rightChars="-27" w:firstLine="480" w:firstLineChars="200"/>
        <w:rPr>
          <w:rFonts w:cs="Arial" w:asciiTheme="minorEastAsia" w:hAnsiTheme="minorEastAsia"/>
          <w:szCs w:val="24"/>
        </w:rPr>
      </w:pPr>
      <w:r>
        <w:rPr>
          <w:rFonts w:hint="eastAsia" w:cs="Arial" w:asciiTheme="minorEastAsia" w:hAnsiTheme="minorEastAsia"/>
          <w:szCs w:val="24"/>
        </w:rPr>
        <w:t>居民档案详细信息包括但不限于基础个人信息如姓名、性别、年龄，以及健康行为信息如依从性、吸烟状况、饮酒习惯，以及生理测量数据如身高、体重、腰围等。这些信息的详尽记录，旨在为医疗卫生专业人员提供全面的健康评估依据，支持精准医疗服务的实施，并便于进行公共卫生决策的数据分析。信息均按照法律法规标准进行严格保密。</w:t>
      </w:r>
    </w:p>
    <w:p w14:paraId="11EE67A9">
      <w:pPr>
        <w:pStyle w:val="8"/>
        <w:numPr>
          <w:ilvl w:val="5"/>
          <w:numId w:val="16"/>
        </w:numPr>
      </w:pPr>
      <w:r>
        <w:rPr>
          <w:rFonts w:hint="eastAsia"/>
        </w:rPr>
        <w:t>居民慢病、BMI记录走势图</w:t>
      </w:r>
    </w:p>
    <w:p w14:paraId="72BC94B3">
      <w:pPr>
        <w:pStyle w:val="3"/>
      </w:pPr>
      <w:r>
        <w:rPr>
          <w:rFonts w:hint="eastAsia" w:asciiTheme="minorEastAsia" w:hAnsiTheme="minorEastAsia" w:eastAsiaTheme="minorEastAsia"/>
        </w:rPr>
        <w:t>具备支持以下功能：</w:t>
      </w:r>
    </w:p>
    <w:p w14:paraId="6B281483">
      <w:pPr>
        <w:ind w:right="-65" w:rightChars="-27" w:firstLine="480" w:firstLineChars="200"/>
        <w:rPr>
          <w:rFonts w:cs="Arial" w:asciiTheme="minorEastAsia" w:hAnsiTheme="minorEastAsia"/>
          <w:szCs w:val="24"/>
        </w:rPr>
      </w:pPr>
      <w:r>
        <w:rPr>
          <w:rFonts w:hint="eastAsia" w:cs="Arial" w:asciiTheme="minorEastAsia" w:hAnsiTheme="minorEastAsia"/>
          <w:szCs w:val="24"/>
        </w:rPr>
        <w:t>为全面监测居民健康状况，居民档案将进一步包含最近7次的血压、血糖、血脂、BMI检测记录，并通过趋势图形式直观展示。这些趋势图不仅有助于医疗卫生专业人员分析患者的健康状况变化，还能够为制定个性化治疗方案和预防策略提供科学依据，确保医疗服务的针对性和有效性。所有健康数据的管理均遵循医疗信息安全规定，确保患者隐私得到充分保护。</w:t>
      </w:r>
    </w:p>
    <w:p w14:paraId="0AAA2C0F">
      <w:pPr>
        <w:pStyle w:val="8"/>
        <w:numPr>
          <w:ilvl w:val="5"/>
          <w:numId w:val="16"/>
        </w:numPr>
      </w:pPr>
      <w:r>
        <w:rPr>
          <w:rFonts w:hint="eastAsia"/>
        </w:rPr>
        <w:t>血压、血糖、血脂、身高体重自定义上传数据</w:t>
      </w:r>
    </w:p>
    <w:p w14:paraId="796E061C">
      <w:pPr>
        <w:pStyle w:val="3"/>
      </w:pPr>
      <w:r>
        <w:rPr>
          <w:rFonts w:hint="eastAsia" w:asciiTheme="minorEastAsia" w:hAnsiTheme="minorEastAsia" w:eastAsiaTheme="minorEastAsia"/>
        </w:rPr>
        <w:t>具备支持以下功能：</w:t>
      </w:r>
    </w:p>
    <w:p w14:paraId="2980BC60">
      <w:pPr>
        <w:ind w:right="-65" w:rightChars="-27" w:firstLine="480" w:firstLineChars="200"/>
        <w:rPr>
          <w:rFonts w:cs="Arial" w:asciiTheme="minorEastAsia" w:hAnsiTheme="minorEastAsia"/>
          <w:szCs w:val="24"/>
        </w:rPr>
      </w:pPr>
      <w:r>
        <w:rPr>
          <w:rFonts w:hint="eastAsia" w:cs="Arial" w:asciiTheme="minorEastAsia" w:hAnsiTheme="minorEastAsia"/>
          <w:szCs w:val="24"/>
        </w:rPr>
        <w:t>系统具备高度灵活的数据管理功能，允许用户自定义上传血压、血糖、血脂、身高体重等关键健康指标的数据。居民或医疗工作人员可从平台直接上传最新的测量记录，确保健康档案的实时更新和完整性。此功能的设计旨在简化数据录入流程，提高信息收集的便捷性，同时为居民提供更加精准的健康管理服务。上传的数据将严格按照医疗信息处理标准进行加密存储，保障信息安全和个人隐私。</w:t>
      </w:r>
    </w:p>
    <w:p w14:paraId="74F9CC55">
      <w:pPr>
        <w:pStyle w:val="8"/>
        <w:numPr>
          <w:ilvl w:val="5"/>
          <w:numId w:val="16"/>
        </w:numPr>
      </w:pPr>
      <w:r>
        <w:rPr>
          <w:rFonts w:hint="eastAsia"/>
        </w:rPr>
        <w:t>预警值设置</w:t>
      </w:r>
    </w:p>
    <w:p w14:paraId="3779686E">
      <w:pPr>
        <w:pStyle w:val="3"/>
      </w:pPr>
      <w:r>
        <w:rPr>
          <w:rFonts w:hint="eastAsia" w:asciiTheme="minorEastAsia" w:hAnsiTheme="minorEastAsia" w:eastAsiaTheme="minorEastAsia"/>
        </w:rPr>
        <w:t>具备支持以下功能：</w:t>
      </w:r>
    </w:p>
    <w:p w14:paraId="7B88EE64">
      <w:pPr>
        <w:ind w:right="-65" w:rightChars="-27" w:firstLine="480" w:firstLineChars="200"/>
        <w:rPr>
          <w:rFonts w:cs="Arial" w:asciiTheme="minorEastAsia" w:hAnsiTheme="minorEastAsia"/>
          <w:szCs w:val="24"/>
        </w:rPr>
      </w:pPr>
      <w:r>
        <w:rPr>
          <w:rFonts w:hint="eastAsia" w:cs="Arial" w:asciiTheme="minorEastAsia" w:hAnsiTheme="minorEastAsia"/>
          <w:szCs w:val="24"/>
        </w:rPr>
        <w:t>为进一步提升居民健康监测的实效性，系统特别增设了预警值设置功能。该功能允许医疗专业人员针对居民的血压、血糖等关键生命体征设定个性化的预警阈值。一旦居民上传的测量记录超出预设的预警范围，系统将自动触发警报机制，通知相关责任医生。此时，医生可根据预警信息及时采取必要的干预措施，为居民提供及时的医疗指导或救治，从而有效预防和控制潜在的健康风险，保障居民的生命安全和健康福祉。此预警系统的引入，不仅增强了医疗服务的主动性和预见性，也极大地提高了医疗服务的质量和效率。</w:t>
      </w:r>
    </w:p>
    <w:p w14:paraId="781F4367">
      <w:pPr>
        <w:pStyle w:val="8"/>
        <w:numPr>
          <w:ilvl w:val="5"/>
          <w:numId w:val="16"/>
        </w:numPr>
      </w:pPr>
      <w:r>
        <w:rPr>
          <w:rFonts w:hint="eastAsia"/>
        </w:rPr>
        <w:t>监测记录与干预</w:t>
      </w:r>
    </w:p>
    <w:p w14:paraId="5F70ED6F">
      <w:pPr>
        <w:pStyle w:val="3"/>
      </w:pPr>
      <w:r>
        <w:rPr>
          <w:rFonts w:hint="eastAsia" w:asciiTheme="minorEastAsia" w:hAnsiTheme="minorEastAsia" w:eastAsiaTheme="minorEastAsia"/>
        </w:rPr>
        <w:t>具备支持以下功能：</w:t>
      </w:r>
    </w:p>
    <w:p w14:paraId="4CDD25FF">
      <w:pPr>
        <w:ind w:right="-65" w:rightChars="-27" w:firstLine="480" w:firstLineChars="200"/>
        <w:rPr>
          <w:rFonts w:cs="Arial" w:asciiTheme="minorEastAsia" w:hAnsiTheme="minorEastAsia"/>
          <w:szCs w:val="24"/>
        </w:rPr>
      </w:pPr>
      <w:r>
        <w:rPr>
          <w:rFonts w:hint="eastAsia" w:cs="Arial" w:asciiTheme="minorEastAsia" w:hAnsiTheme="minorEastAsia"/>
          <w:szCs w:val="24"/>
        </w:rPr>
        <w:t>系统融合了先进的干预技术，能够实时监测居民血压、血糖及血脂的具体测量值。当检测数据达到或超过预设的预警值时，系统将自动启动干预流程。医疗专业人员可通过系统查看详细的监测记录，分析结果，对居民的健康状况进行快速评估，进而实施精准的干预措施。这种智能化的健康管理模式，不仅提高了医疗响应速度，也通过数据驱动的决策支持，优化了医疗资源分配，确保了居民在面临健康风险时能够得到及时有效的医疗援助。</w:t>
      </w:r>
    </w:p>
    <w:p w14:paraId="7C9ED33B">
      <w:pPr>
        <w:pStyle w:val="8"/>
        <w:numPr>
          <w:ilvl w:val="5"/>
          <w:numId w:val="16"/>
        </w:numPr>
      </w:pPr>
      <w:r>
        <w:rPr>
          <w:rFonts w:hint="eastAsia"/>
        </w:rPr>
        <w:t>患者签约内容</w:t>
      </w:r>
    </w:p>
    <w:p w14:paraId="5DF373D9">
      <w:pPr>
        <w:pStyle w:val="3"/>
      </w:pPr>
      <w:r>
        <w:rPr>
          <w:rFonts w:hint="eastAsia" w:asciiTheme="minorEastAsia" w:hAnsiTheme="minorEastAsia" w:eastAsiaTheme="minorEastAsia"/>
        </w:rPr>
        <w:t>具备支持以下功能：</w:t>
      </w:r>
    </w:p>
    <w:p w14:paraId="23736C50">
      <w:pPr>
        <w:ind w:right="-65" w:rightChars="-27" w:firstLine="480" w:firstLineChars="200"/>
        <w:rPr>
          <w:rFonts w:cs="Arial" w:asciiTheme="minorEastAsia" w:hAnsiTheme="minorEastAsia"/>
          <w:szCs w:val="24"/>
        </w:rPr>
      </w:pPr>
      <w:r>
        <w:rPr>
          <w:rFonts w:hint="eastAsia" w:cs="Arial" w:asciiTheme="minorEastAsia" w:hAnsiTheme="minorEastAsia"/>
          <w:szCs w:val="24"/>
        </w:rPr>
        <w:t>在居民健康管理服务中，系统详尽记录了居民的签约内容，包括但不限于服务包签约情况、服务期限以及已享受服务的天数等关键信息。这些统计数据为医疗工作人员提供了清晰的服务跟踪和管理依据，确保了签约居民能够按照协议内容获得连续、稳定的医疗服务。同时，通过系统化的信息统计，有助于医疗机构评估服务包的执行效率，优化服务流程，提升居民对医疗服务的满意度。</w:t>
      </w:r>
    </w:p>
    <w:p w14:paraId="2C1CA177">
      <w:pPr>
        <w:pStyle w:val="8"/>
        <w:numPr>
          <w:ilvl w:val="5"/>
          <w:numId w:val="16"/>
        </w:numPr>
      </w:pPr>
      <w:r>
        <w:rPr>
          <w:rFonts w:hint="eastAsia"/>
        </w:rPr>
        <w:t>生活方式干预</w:t>
      </w:r>
    </w:p>
    <w:p w14:paraId="003ED3DB">
      <w:pPr>
        <w:pStyle w:val="3"/>
      </w:pPr>
      <w:r>
        <w:rPr>
          <w:rFonts w:hint="eastAsia" w:asciiTheme="minorEastAsia" w:hAnsiTheme="minorEastAsia" w:eastAsiaTheme="minorEastAsia"/>
        </w:rPr>
        <w:t>具备支持以下功能：</w:t>
      </w:r>
    </w:p>
    <w:p w14:paraId="73B8F8A5">
      <w:pPr>
        <w:ind w:right="-65" w:rightChars="-27" w:firstLine="480" w:firstLineChars="200"/>
        <w:rPr>
          <w:rFonts w:cs="Arial" w:asciiTheme="minorEastAsia" w:hAnsiTheme="minorEastAsia"/>
          <w:szCs w:val="24"/>
        </w:rPr>
      </w:pPr>
      <w:r>
        <w:rPr>
          <w:rFonts w:hint="eastAsia" w:cs="Arial" w:asciiTheme="minorEastAsia" w:hAnsiTheme="minorEastAsia"/>
          <w:szCs w:val="24"/>
        </w:rPr>
        <w:t>居民可通过便捷的小程序平台，直接访问并查看个性化的生活方式干预建议。小程序的设计充分考虑用户体验，确保居民能够轻松获取专业、实用的健康信息，从而有效地参与到自我健康管理中来。此举不仅增强了居民的健康意识，也为构建和谐、健康的社会环境奠定了坚实的基础。</w:t>
      </w:r>
    </w:p>
    <w:p w14:paraId="14D20FBA">
      <w:pPr>
        <w:pStyle w:val="8"/>
        <w:numPr>
          <w:ilvl w:val="5"/>
          <w:numId w:val="16"/>
        </w:numPr>
      </w:pPr>
      <w:r>
        <w:rPr>
          <w:rFonts w:hint="eastAsia"/>
        </w:rPr>
        <w:t>药物治疗方案</w:t>
      </w:r>
    </w:p>
    <w:p w14:paraId="4871C8D7">
      <w:pPr>
        <w:pStyle w:val="3"/>
      </w:pPr>
      <w:r>
        <w:rPr>
          <w:rFonts w:hint="eastAsia" w:asciiTheme="minorEastAsia" w:hAnsiTheme="minorEastAsia" w:eastAsiaTheme="minorEastAsia"/>
        </w:rPr>
        <w:t>具备支持以下功能：</w:t>
      </w:r>
    </w:p>
    <w:p w14:paraId="265C6880">
      <w:pPr>
        <w:ind w:right="-65" w:rightChars="-27" w:firstLine="480" w:firstLineChars="200"/>
        <w:rPr>
          <w:rFonts w:cs="Arial" w:asciiTheme="minorEastAsia" w:hAnsiTheme="minorEastAsia"/>
          <w:szCs w:val="24"/>
        </w:rPr>
      </w:pPr>
      <w:r>
        <w:rPr>
          <w:rFonts w:hint="eastAsia" w:cs="Arial" w:asciiTheme="minorEastAsia" w:hAnsiTheme="minorEastAsia"/>
          <w:szCs w:val="24"/>
        </w:rPr>
        <w:t>系统提供灵活的药物治疗方案管理功能，允许医疗专业人员根据居民的具体医疗需求，便捷地从一系列预设的模板中选择适合的药物治疗方案，或者根据实际情况完全自定义一个新的治疗方案。无论是遵循标准化治疗流程还是根据居民的独特状况进行个性化调整，该功能都能确保治疗方案的精准性和有效性，同时简化了治疗计划的制定和执行过程。</w:t>
      </w:r>
    </w:p>
    <w:p w14:paraId="31F61182">
      <w:pPr>
        <w:pStyle w:val="8"/>
        <w:numPr>
          <w:ilvl w:val="5"/>
          <w:numId w:val="16"/>
        </w:numPr>
      </w:pPr>
      <w:r>
        <w:rPr>
          <w:rFonts w:hint="eastAsia"/>
        </w:rPr>
        <w:t>随访记录</w:t>
      </w:r>
    </w:p>
    <w:p w14:paraId="3942A39B">
      <w:pPr>
        <w:pStyle w:val="3"/>
      </w:pPr>
      <w:r>
        <w:rPr>
          <w:rFonts w:hint="eastAsia" w:asciiTheme="minorEastAsia" w:hAnsiTheme="minorEastAsia" w:eastAsiaTheme="minorEastAsia"/>
        </w:rPr>
        <w:t>具备支持以下功能：</w:t>
      </w:r>
    </w:p>
    <w:p w14:paraId="404E16B8">
      <w:pPr>
        <w:ind w:right="-65" w:rightChars="-27" w:firstLine="480" w:firstLineChars="200"/>
        <w:rPr>
          <w:rFonts w:cs="Arial" w:asciiTheme="minorEastAsia" w:hAnsiTheme="minorEastAsia"/>
          <w:szCs w:val="24"/>
        </w:rPr>
      </w:pPr>
      <w:r>
        <w:rPr>
          <w:rFonts w:hint="eastAsia" w:cs="Arial" w:asciiTheme="minorEastAsia" w:hAnsiTheme="minorEastAsia"/>
          <w:szCs w:val="24"/>
        </w:rPr>
        <w:t>用户可通过此平台精准检索并浏览特定居民的历次随访记录，确保健康管理信息的连续性与完整性。</w:t>
      </w:r>
    </w:p>
    <w:p w14:paraId="2A69395A">
      <w:pPr>
        <w:pStyle w:val="8"/>
        <w:numPr>
          <w:ilvl w:val="5"/>
          <w:numId w:val="16"/>
        </w:numPr>
      </w:pPr>
      <w:r>
        <w:rPr>
          <w:rFonts w:hint="eastAsia"/>
        </w:rPr>
        <w:t>肿瘤问卷调查</w:t>
      </w:r>
    </w:p>
    <w:p w14:paraId="637EAB34">
      <w:pPr>
        <w:pStyle w:val="3"/>
      </w:pPr>
      <w:r>
        <w:rPr>
          <w:rFonts w:hint="eastAsia" w:asciiTheme="minorEastAsia" w:hAnsiTheme="minorEastAsia" w:eastAsiaTheme="minorEastAsia"/>
        </w:rPr>
        <w:t>具备支持以下功能：</w:t>
      </w:r>
    </w:p>
    <w:p w14:paraId="517F6FDA">
      <w:pPr>
        <w:ind w:right="-65" w:rightChars="-27" w:firstLine="480" w:firstLineChars="200"/>
        <w:rPr>
          <w:rFonts w:cs="Arial" w:asciiTheme="minorEastAsia" w:hAnsiTheme="minorEastAsia"/>
          <w:szCs w:val="24"/>
        </w:rPr>
      </w:pPr>
      <w:r>
        <w:rPr>
          <w:rFonts w:hint="eastAsia" w:cs="Arial" w:asciiTheme="minorEastAsia" w:hAnsiTheme="minorEastAsia"/>
          <w:szCs w:val="24"/>
        </w:rPr>
        <w:t>居民所有的肿瘤问卷调查操作记录都在该模块中进行展示，其中包括了调查员、录入员、吸烟年限、吸烟等。</w:t>
      </w:r>
    </w:p>
    <w:p w14:paraId="37D2459D">
      <w:pPr>
        <w:pStyle w:val="8"/>
        <w:numPr>
          <w:ilvl w:val="5"/>
          <w:numId w:val="16"/>
        </w:numPr>
      </w:pPr>
      <w:r>
        <w:rPr>
          <w:rFonts w:hint="eastAsia"/>
        </w:rPr>
        <w:t>居民口腔问卷调查</w:t>
      </w:r>
    </w:p>
    <w:p w14:paraId="2114D83E">
      <w:pPr>
        <w:pStyle w:val="3"/>
      </w:pPr>
      <w:r>
        <w:rPr>
          <w:rFonts w:hint="eastAsia" w:asciiTheme="minorEastAsia" w:hAnsiTheme="minorEastAsia" w:eastAsiaTheme="minorEastAsia"/>
        </w:rPr>
        <w:t>具备支持以下功能：</w:t>
      </w:r>
    </w:p>
    <w:p w14:paraId="0C58C281">
      <w:pPr>
        <w:ind w:right="-65" w:rightChars="-27" w:firstLine="480" w:firstLineChars="200"/>
        <w:rPr>
          <w:rFonts w:cs="Arial" w:asciiTheme="minorEastAsia" w:hAnsiTheme="minorEastAsia"/>
          <w:szCs w:val="24"/>
        </w:rPr>
      </w:pPr>
      <w:r>
        <w:rPr>
          <w:rFonts w:hint="eastAsia" w:cs="Arial" w:asciiTheme="minorEastAsia" w:hAnsiTheme="minorEastAsia"/>
          <w:szCs w:val="24"/>
        </w:rPr>
        <w:t>居民所有的口腔问卷调查操作记录都在该模块中进行展示，其中包括了调查时间、是否有结石、是否有出血、是否有松动等。</w:t>
      </w:r>
    </w:p>
    <w:p w14:paraId="34C24181">
      <w:pPr>
        <w:pStyle w:val="8"/>
        <w:numPr>
          <w:ilvl w:val="5"/>
          <w:numId w:val="16"/>
        </w:numPr>
      </w:pPr>
      <w:r>
        <w:rPr>
          <w:rFonts w:hint="eastAsia"/>
        </w:rPr>
        <w:t>健康币操作记录</w:t>
      </w:r>
    </w:p>
    <w:p w14:paraId="20CB1789">
      <w:pPr>
        <w:pStyle w:val="3"/>
      </w:pPr>
      <w:r>
        <w:rPr>
          <w:rFonts w:hint="eastAsia" w:asciiTheme="minorEastAsia" w:hAnsiTheme="minorEastAsia" w:eastAsiaTheme="minorEastAsia"/>
        </w:rPr>
        <w:t>具备支持以下功能：</w:t>
      </w:r>
    </w:p>
    <w:p w14:paraId="50BFFF6F">
      <w:pPr>
        <w:ind w:right="-65" w:rightChars="-27" w:firstLine="480" w:firstLineChars="200"/>
        <w:rPr>
          <w:rFonts w:cs="Arial" w:asciiTheme="minorEastAsia" w:hAnsiTheme="minorEastAsia"/>
          <w:szCs w:val="24"/>
        </w:rPr>
      </w:pPr>
      <w:r>
        <w:rPr>
          <w:rFonts w:hint="eastAsia" w:cs="Arial" w:asciiTheme="minorEastAsia" w:hAnsiTheme="minorEastAsia"/>
          <w:szCs w:val="24"/>
        </w:rPr>
        <w:t>居民所有的健康币操作记录都在该模块中进行展示，其中包括了操作类型、任务名称、获取数量、获取时间等</w:t>
      </w:r>
    </w:p>
    <w:p w14:paraId="43D1B8A8">
      <w:pPr>
        <w:pStyle w:val="8"/>
        <w:numPr>
          <w:ilvl w:val="5"/>
          <w:numId w:val="16"/>
        </w:numPr>
      </w:pPr>
      <w:r>
        <w:rPr>
          <w:rFonts w:hint="eastAsia"/>
        </w:rPr>
        <w:t>住院门诊信息</w:t>
      </w:r>
    </w:p>
    <w:p w14:paraId="2F1BBFDC">
      <w:pPr>
        <w:pStyle w:val="3"/>
      </w:pPr>
      <w:r>
        <w:rPr>
          <w:rFonts w:hint="eastAsia" w:asciiTheme="minorEastAsia" w:hAnsiTheme="minorEastAsia" w:eastAsiaTheme="minorEastAsia"/>
        </w:rPr>
        <w:t>具备支持以下功能：</w:t>
      </w:r>
    </w:p>
    <w:p w14:paraId="3B63B386">
      <w:pPr>
        <w:ind w:right="-65" w:rightChars="-27" w:firstLine="480" w:firstLineChars="200"/>
        <w:rPr>
          <w:rFonts w:cs="Arial" w:asciiTheme="minorEastAsia" w:hAnsiTheme="minorEastAsia"/>
          <w:szCs w:val="24"/>
        </w:rPr>
      </w:pPr>
      <w:r>
        <w:rPr>
          <w:rFonts w:hint="eastAsia" w:cs="Arial" w:asciiTheme="minorEastAsia" w:hAnsiTheme="minorEastAsia"/>
          <w:szCs w:val="24"/>
        </w:rPr>
        <w:t>县域内的居民，只要在卫生院或者人民医院有过住院和门诊记录，这个模块就会将该居民的所有住院和门诊记录查询展示出来，包括医院名称、科室名称、病区名称、医生名称、入院诊断结果、出院诊断结果以及入出院时间。</w:t>
      </w:r>
    </w:p>
    <w:p w14:paraId="22B64E73">
      <w:pPr>
        <w:pStyle w:val="8"/>
        <w:numPr>
          <w:ilvl w:val="5"/>
          <w:numId w:val="16"/>
        </w:numPr>
      </w:pPr>
      <w:r>
        <w:rPr>
          <w:rFonts w:hint="eastAsia"/>
        </w:rPr>
        <w:t>分配患者信息至机构</w:t>
      </w:r>
    </w:p>
    <w:p w14:paraId="7967C5EA">
      <w:pPr>
        <w:pStyle w:val="3"/>
      </w:pPr>
      <w:r>
        <w:rPr>
          <w:rFonts w:hint="eastAsia" w:asciiTheme="minorEastAsia" w:hAnsiTheme="minorEastAsia" w:eastAsiaTheme="minorEastAsia"/>
        </w:rPr>
        <w:t>具备支持以下功能：</w:t>
      </w:r>
    </w:p>
    <w:p w14:paraId="39F86697">
      <w:pPr>
        <w:ind w:right="-65" w:rightChars="-27" w:firstLine="480" w:firstLineChars="200"/>
        <w:rPr>
          <w:rFonts w:cs="Arial" w:asciiTheme="minorEastAsia" w:hAnsiTheme="minorEastAsia"/>
          <w:szCs w:val="24"/>
        </w:rPr>
      </w:pPr>
      <w:r>
        <w:rPr>
          <w:rFonts w:hint="eastAsia" w:cs="Arial" w:asciiTheme="minorEastAsia" w:hAnsiTheme="minorEastAsia"/>
          <w:szCs w:val="24"/>
        </w:rPr>
        <w:t>系统具备精准的患者信息分配机制，能够根据患者的详细住址信息，自动将其分配至对应的村卫生室，并同步开通村卫生室的上转权限，以便于实现患者信息的有序流动和高效管理，确保医疗服务在基层的精准对接与顺畅运行。</w:t>
      </w:r>
    </w:p>
    <w:p w14:paraId="0D029E5E">
      <w:pPr>
        <w:pStyle w:val="7"/>
        <w:numPr>
          <w:ilvl w:val="4"/>
          <w:numId w:val="16"/>
        </w:numPr>
      </w:pPr>
      <w:bookmarkStart w:id="384" w:name="_Toc6538"/>
      <w:bookmarkStart w:id="385" w:name="_Toc3888"/>
      <w:bookmarkStart w:id="386" w:name="_Toc22265"/>
      <w:bookmarkStart w:id="387" w:name="_Toc6782"/>
      <w:r>
        <w:rPr>
          <w:rFonts w:hint="eastAsia"/>
        </w:rPr>
        <w:t>数据中台</w:t>
      </w:r>
      <w:bookmarkEnd w:id="384"/>
      <w:bookmarkEnd w:id="385"/>
      <w:bookmarkEnd w:id="386"/>
      <w:bookmarkEnd w:id="387"/>
    </w:p>
    <w:p w14:paraId="3F1ADB8E">
      <w:pPr>
        <w:pStyle w:val="8"/>
        <w:numPr>
          <w:ilvl w:val="5"/>
          <w:numId w:val="16"/>
        </w:numPr>
      </w:pPr>
      <w:r>
        <w:rPr>
          <w:rFonts w:hint="eastAsia"/>
        </w:rPr>
        <w:t>待回访记录</w:t>
      </w:r>
    </w:p>
    <w:p w14:paraId="17654610">
      <w:pPr>
        <w:pStyle w:val="3"/>
      </w:pPr>
      <w:r>
        <w:rPr>
          <w:rFonts w:hint="eastAsia" w:asciiTheme="minorEastAsia" w:hAnsiTheme="minorEastAsia" w:eastAsiaTheme="minorEastAsia"/>
        </w:rPr>
        <w:t>具备支持以下功能：</w:t>
      </w:r>
    </w:p>
    <w:p w14:paraId="6B4AF8DF">
      <w:pPr>
        <w:ind w:firstLine="420"/>
        <w:rPr>
          <w:rFonts w:ascii="宋体" w:hAnsi="宋体" w:cs="宋体"/>
          <w:szCs w:val="24"/>
        </w:rPr>
      </w:pPr>
      <w:r>
        <w:rPr>
          <w:rFonts w:hint="eastAsia" w:ascii="宋体" w:hAnsi="宋体" w:cs="宋体"/>
          <w:szCs w:val="24"/>
        </w:rPr>
        <w:t>在大屏中的“居民档案详细信息”模块，内容涵盖居民的基础信息如姓名、性别、年龄，以及健康相关的生活方式信息，包括依从性、吸烟状况、饮酒习惯等。同时，模块还记录了居民的生理指标，如身高、体重、腰围，以便工作人员高效查阅和更新居民健康状况，支持个性化健康管理服务。</w:t>
      </w:r>
    </w:p>
    <w:p w14:paraId="4C99C2D8">
      <w:pPr>
        <w:pStyle w:val="8"/>
        <w:numPr>
          <w:ilvl w:val="5"/>
          <w:numId w:val="16"/>
        </w:numPr>
      </w:pPr>
      <w:r>
        <w:rPr>
          <w:rFonts w:hint="eastAsia"/>
        </w:rPr>
        <w:t>回访趋势统计图</w:t>
      </w:r>
    </w:p>
    <w:p w14:paraId="65133D16">
      <w:pPr>
        <w:pStyle w:val="3"/>
      </w:pPr>
      <w:r>
        <w:rPr>
          <w:rFonts w:hint="eastAsia" w:asciiTheme="minorEastAsia" w:hAnsiTheme="minorEastAsia" w:eastAsiaTheme="minorEastAsia"/>
        </w:rPr>
        <w:t>具备支持以下功能：</w:t>
      </w:r>
    </w:p>
    <w:p w14:paraId="34AC121F">
      <w:pPr>
        <w:ind w:firstLine="420"/>
        <w:rPr>
          <w:rFonts w:ascii="宋体" w:hAnsi="宋体" w:cs="宋体"/>
          <w:szCs w:val="24"/>
        </w:rPr>
      </w:pPr>
      <w:r>
        <w:rPr>
          <w:rFonts w:hint="eastAsia" w:ascii="宋体" w:hAnsi="宋体" w:cs="宋体"/>
          <w:szCs w:val="24"/>
        </w:rPr>
        <w:t>在“回访趋势统计图”部分，系统提供了灵活的查询功能，允许用户根据需求选择按月度或年度查看数据。图表以柱状图的形式直观展示本年度或选定月份的回访人数。这样，工作人员可以轻松地分析和掌握回访活动的频率和覆盖范围，从而优化回访策略和提升服务质量。以下是柱状图的描述：</w:t>
      </w:r>
    </w:p>
    <w:p w14:paraId="3ACA0876">
      <w:pPr>
        <w:ind w:firstLine="420"/>
        <w:rPr>
          <w:rFonts w:ascii="宋体" w:hAnsi="宋体" w:cs="宋体"/>
          <w:szCs w:val="24"/>
        </w:rPr>
      </w:pPr>
      <w:r>
        <w:rPr>
          <w:rFonts w:hint="eastAsia" w:ascii="宋体" w:hAnsi="宋体" w:cs="宋体"/>
          <w:szCs w:val="24"/>
        </w:rPr>
        <w:t>横轴（X轴）：表示时间，可以是月份或年份。</w:t>
      </w:r>
    </w:p>
    <w:p w14:paraId="10F4120F">
      <w:pPr>
        <w:ind w:firstLine="420"/>
        <w:rPr>
          <w:rFonts w:ascii="宋体" w:hAnsi="宋体" w:cs="宋体"/>
          <w:szCs w:val="24"/>
        </w:rPr>
      </w:pPr>
      <w:r>
        <w:rPr>
          <w:rFonts w:hint="eastAsia" w:ascii="宋体" w:hAnsi="宋体" w:cs="宋体"/>
          <w:szCs w:val="24"/>
        </w:rPr>
        <w:t>纵轴（Y轴）：表示回访人数。</w:t>
      </w:r>
    </w:p>
    <w:p w14:paraId="2AA6B9A4">
      <w:pPr>
        <w:ind w:firstLine="420"/>
        <w:rPr>
          <w:rFonts w:ascii="宋体" w:hAnsi="宋体" w:cs="宋体"/>
          <w:szCs w:val="24"/>
        </w:rPr>
      </w:pPr>
      <w:r>
        <w:rPr>
          <w:rFonts w:hint="eastAsia" w:ascii="宋体" w:hAnsi="宋体" w:cs="宋体"/>
          <w:szCs w:val="24"/>
        </w:rPr>
        <w:t>每个柱子代表相应时间段的回访人数，柱子的高度直观反映了回访人数的多少。</w:t>
      </w:r>
    </w:p>
    <w:p w14:paraId="0B80C60B">
      <w:pPr>
        <w:pStyle w:val="8"/>
        <w:numPr>
          <w:ilvl w:val="5"/>
          <w:numId w:val="16"/>
        </w:numPr>
      </w:pPr>
      <w:r>
        <w:rPr>
          <w:rFonts w:hint="eastAsia"/>
        </w:rPr>
        <w:t>慢病病种人数top10</w:t>
      </w:r>
    </w:p>
    <w:p w14:paraId="06DD3549">
      <w:pPr>
        <w:pStyle w:val="3"/>
      </w:pPr>
      <w:r>
        <w:rPr>
          <w:rFonts w:hint="eastAsia" w:asciiTheme="minorEastAsia" w:hAnsiTheme="minorEastAsia" w:eastAsiaTheme="minorEastAsia"/>
        </w:rPr>
        <w:t>具备支持以下功能：</w:t>
      </w:r>
    </w:p>
    <w:p w14:paraId="45CFC808">
      <w:pPr>
        <w:ind w:firstLine="420"/>
        <w:rPr>
          <w:rFonts w:ascii="宋体" w:hAnsi="宋体" w:cs="宋体"/>
          <w:szCs w:val="24"/>
        </w:rPr>
      </w:pPr>
      <w:r>
        <w:rPr>
          <w:rFonts w:hint="eastAsia" w:ascii="宋体" w:hAnsi="宋体" w:cs="宋体"/>
          <w:szCs w:val="24"/>
        </w:rPr>
        <w:t>在“慢病病种人数TOP10”模块，系统利用环形统计图高效展示了排名前10的慢病病种及其患者人数。这种图表形式不仅清晰地展示了每种慢病病种在总体中的占比，还包含了病种名称和具体数量的详细信息，便于医疗管理人员快速识别重点关注的慢病类型。</w:t>
      </w:r>
    </w:p>
    <w:p w14:paraId="4F2B2ACA">
      <w:pPr>
        <w:pStyle w:val="8"/>
        <w:numPr>
          <w:ilvl w:val="5"/>
          <w:numId w:val="16"/>
        </w:numPr>
      </w:pPr>
      <w:r>
        <w:rPr>
          <w:rFonts w:hint="eastAsia"/>
        </w:rPr>
        <w:t>各回访人员随访数量统计</w:t>
      </w:r>
    </w:p>
    <w:p w14:paraId="0091BB12">
      <w:pPr>
        <w:pStyle w:val="3"/>
      </w:pPr>
      <w:r>
        <w:rPr>
          <w:rFonts w:hint="eastAsia" w:asciiTheme="minorEastAsia" w:hAnsiTheme="minorEastAsia" w:eastAsiaTheme="minorEastAsia"/>
        </w:rPr>
        <w:t>具备支持以下功能：</w:t>
      </w:r>
    </w:p>
    <w:p w14:paraId="541B4DA4">
      <w:pPr>
        <w:ind w:firstLine="420"/>
        <w:rPr>
          <w:rFonts w:ascii="宋体" w:hAnsi="宋体" w:cs="宋体"/>
          <w:szCs w:val="24"/>
        </w:rPr>
      </w:pPr>
      <w:r>
        <w:rPr>
          <w:rFonts w:hint="eastAsia" w:ascii="宋体" w:hAnsi="宋体" w:cs="宋体"/>
          <w:szCs w:val="24"/>
        </w:rPr>
        <w:t>“各回访人员随访数量统计”功能采用饼图形式，直观展现本机构内不同回访人员的随访人数分布。在饼图中，各回访人员的回访人数比例与其所占饼图的面积成正比，从而清晰反映出每位回访人员的工作量及贡献度。</w:t>
      </w:r>
    </w:p>
    <w:p w14:paraId="4ABA7928">
      <w:pPr>
        <w:pStyle w:val="8"/>
        <w:numPr>
          <w:ilvl w:val="5"/>
          <w:numId w:val="16"/>
        </w:numPr>
      </w:pPr>
      <w:r>
        <w:rPr>
          <w:rFonts w:hint="eastAsia"/>
        </w:rPr>
        <w:t>各慢病人数数量统计</w:t>
      </w:r>
    </w:p>
    <w:p w14:paraId="4110B31C">
      <w:pPr>
        <w:pStyle w:val="3"/>
      </w:pPr>
      <w:r>
        <w:rPr>
          <w:rFonts w:hint="eastAsia" w:asciiTheme="minorEastAsia" w:hAnsiTheme="minorEastAsia" w:eastAsiaTheme="minorEastAsia"/>
        </w:rPr>
        <w:t>具备支持以下功能：</w:t>
      </w:r>
    </w:p>
    <w:p w14:paraId="7279801A">
      <w:pPr>
        <w:ind w:firstLine="420"/>
        <w:rPr>
          <w:rFonts w:ascii="宋体" w:hAnsi="宋体" w:cs="宋体"/>
          <w:szCs w:val="24"/>
        </w:rPr>
      </w:pPr>
      <w:r>
        <w:rPr>
          <w:rFonts w:hint="eastAsia" w:ascii="宋体" w:hAnsi="宋体" w:cs="宋体"/>
          <w:szCs w:val="24"/>
        </w:rPr>
        <w:t>在“各慢病人数数量统计”模块，数据中台以精确的数字和图表形式直观呈现了总慢病人数，以及包括恶性肿瘤门诊治疗、精神障碍、尿毒症透析治疗、白血病、组织或器官移植、神经系统良性肿瘤门诊等特定慢病类别的患者数量。这一统计有助于医疗管理人员快速把握各类慢病的发病情况，为资源分配和健康干预提供数据支持。</w:t>
      </w:r>
    </w:p>
    <w:p w14:paraId="152F1FDA">
      <w:pPr>
        <w:pStyle w:val="8"/>
        <w:numPr>
          <w:ilvl w:val="5"/>
          <w:numId w:val="16"/>
        </w:numPr>
      </w:pPr>
      <w:r>
        <w:rPr>
          <w:rFonts w:hint="eastAsia"/>
        </w:rPr>
        <w:t>辖区地图展示各医疗机构下慢病人数的情况</w:t>
      </w:r>
    </w:p>
    <w:p w14:paraId="5EB098E8">
      <w:pPr>
        <w:pStyle w:val="3"/>
      </w:pPr>
      <w:r>
        <w:rPr>
          <w:rFonts w:hint="eastAsia" w:asciiTheme="minorEastAsia" w:hAnsiTheme="minorEastAsia" w:eastAsiaTheme="minorEastAsia"/>
        </w:rPr>
        <w:t>具备支持以下功能：</w:t>
      </w:r>
    </w:p>
    <w:p w14:paraId="5B68AB35">
      <w:pPr>
        <w:ind w:firstLine="420"/>
        <w:rPr>
          <w:rFonts w:ascii="宋体" w:hAnsi="宋体" w:cs="宋体"/>
          <w:szCs w:val="24"/>
        </w:rPr>
      </w:pPr>
      <w:r>
        <w:rPr>
          <w:rFonts w:hint="eastAsia" w:ascii="宋体" w:hAnsi="宋体" w:cs="宋体"/>
          <w:szCs w:val="24"/>
        </w:rPr>
        <w:t>通过县域的地理分布图，直观地在地图上标注了各卫生院和卫生室所辖范围内的慢病人数情况。地图中采用不同颜色进行区分，以色块深浅来表示慢病人数的多少，便于快速识别哪些区域慢病发病率较高，从而为公共卫生决策和资源优化配置提供直观的数据支持。</w:t>
      </w:r>
    </w:p>
    <w:p w14:paraId="490099A1">
      <w:pPr>
        <w:pStyle w:val="8"/>
        <w:numPr>
          <w:ilvl w:val="5"/>
          <w:numId w:val="16"/>
        </w:numPr>
      </w:pPr>
      <w:r>
        <w:rPr>
          <w:rFonts w:hint="eastAsia"/>
        </w:rPr>
        <w:t>慢病人数占比</w:t>
      </w:r>
    </w:p>
    <w:p w14:paraId="26CBE9A2">
      <w:pPr>
        <w:pStyle w:val="3"/>
      </w:pPr>
      <w:r>
        <w:rPr>
          <w:rFonts w:hint="eastAsia" w:asciiTheme="minorEastAsia" w:hAnsiTheme="minorEastAsia" w:eastAsiaTheme="minorEastAsia"/>
        </w:rPr>
        <w:t>具备支持以下功能：</w:t>
      </w:r>
    </w:p>
    <w:p w14:paraId="22A606DF">
      <w:pPr>
        <w:ind w:firstLine="420"/>
      </w:pPr>
      <w:r>
        <w:rPr>
          <w:rFonts w:hint="eastAsia" w:ascii="宋体" w:hAnsi="宋体" w:cs="宋体"/>
          <w:szCs w:val="24"/>
        </w:rPr>
        <w:t>慢病人数占比”功能以动态滚动的形式展示整个慢病中心内各慢病病种的患者占比情况。在展示中，颜色深浅与患者人数成正比，即颜色越深的部分代表该慢病病种的患者人数越多，从而便于快速识别和管理慢病中心中的主要病种和重点人群。</w:t>
      </w:r>
    </w:p>
    <w:p w14:paraId="12424DD5">
      <w:pPr>
        <w:pStyle w:val="8"/>
        <w:numPr>
          <w:ilvl w:val="5"/>
          <w:numId w:val="16"/>
        </w:numPr>
      </w:pPr>
      <w:r>
        <w:rPr>
          <w:rFonts w:hint="eastAsia"/>
        </w:rPr>
        <w:t>慢病性别占比</w:t>
      </w:r>
    </w:p>
    <w:p w14:paraId="4D47E40B">
      <w:pPr>
        <w:pStyle w:val="3"/>
      </w:pPr>
      <w:r>
        <w:rPr>
          <w:rFonts w:hint="eastAsia" w:asciiTheme="minorEastAsia" w:hAnsiTheme="minorEastAsia" w:eastAsiaTheme="minorEastAsia"/>
        </w:rPr>
        <w:t>具备支持以下功能：</w:t>
      </w:r>
    </w:p>
    <w:p w14:paraId="520C868E">
      <w:pPr>
        <w:ind w:firstLine="420"/>
        <w:rPr>
          <w:rFonts w:ascii="宋体" w:hAnsi="宋体" w:cs="宋体"/>
          <w:szCs w:val="24"/>
        </w:rPr>
      </w:pPr>
      <w:r>
        <w:rPr>
          <w:rFonts w:hint="eastAsia" w:ascii="宋体" w:hAnsi="宋体" w:cs="宋体"/>
          <w:szCs w:val="24"/>
        </w:rPr>
        <w:t>慢病性别占比”功能动态展示整个慢病中心内各慢病病种中男女患者的占比情况。在展示中，颜色深浅代表患者人数的多少，颜色越深表明该性别在该慢病病种中的患者人数越多，从而为分析和制定性别针对性的慢病管理策略提供直观的数据支持。</w:t>
      </w:r>
    </w:p>
    <w:p w14:paraId="2C4DF1EC">
      <w:pPr>
        <w:pStyle w:val="8"/>
        <w:numPr>
          <w:ilvl w:val="5"/>
          <w:numId w:val="16"/>
        </w:numPr>
      </w:pPr>
      <w:r>
        <w:rPr>
          <w:rFonts w:hint="eastAsia"/>
        </w:rPr>
        <w:t>本年度慢病人数趋势统计</w:t>
      </w:r>
    </w:p>
    <w:p w14:paraId="6FC29B26">
      <w:pPr>
        <w:pStyle w:val="3"/>
      </w:pPr>
      <w:r>
        <w:rPr>
          <w:rFonts w:hint="eastAsia" w:asciiTheme="minorEastAsia" w:hAnsiTheme="minorEastAsia" w:eastAsiaTheme="minorEastAsia"/>
        </w:rPr>
        <w:t>具备支持以下功能：</w:t>
      </w:r>
    </w:p>
    <w:p w14:paraId="39D3B5F7">
      <w:pPr>
        <w:ind w:firstLine="420"/>
        <w:rPr>
          <w:rFonts w:ascii="宋体" w:hAnsi="宋体" w:cs="宋体"/>
          <w:szCs w:val="24"/>
        </w:rPr>
      </w:pPr>
      <w:r>
        <w:rPr>
          <w:rFonts w:hint="eastAsia" w:ascii="宋体" w:hAnsi="宋体" w:cs="宋体"/>
          <w:szCs w:val="24"/>
        </w:rPr>
        <w:t>详细记录并展现了本年度内慢病患者的数量变化趋势。图中，横坐标轴代表时间，以月份为单位，从年初至年末依次排列，用以反映时间序列上的变化；纵坐标轴则表示慢病患者的累计人数。通过观察折线的起伏，可以清晰地了解慢病人数随时间的增减情况，便于医疗卫生管理部门和医疗机构分析慢病发展趋势，及时调整防治策略，优化资源配置，以更好地服务于慢病患者的健康管理。</w:t>
      </w:r>
    </w:p>
    <w:p w14:paraId="37BCD326">
      <w:pPr>
        <w:pStyle w:val="8"/>
        <w:numPr>
          <w:ilvl w:val="5"/>
          <w:numId w:val="16"/>
        </w:numPr>
      </w:pPr>
      <w:r>
        <w:rPr>
          <w:rFonts w:hint="eastAsia"/>
        </w:rPr>
        <w:t>病种趋势</w:t>
      </w:r>
    </w:p>
    <w:p w14:paraId="0BD5697E">
      <w:pPr>
        <w:pStyle w:val="3"/>
      </w:pPr>
      <w:r>
        <w:rPr>
          <w:rFonts w:hint="eastAsia" w:asciiTheme="minorEastAsia" w:hAnsiTheme="minorEastAsia" w:eastAsiaTheme="minorEastAsia"/>
        </w:rPr>
        <w:t>具备支持以下功能：</w:t>
      </w:r>
    </w:p>
    <w:p w14:paraId="414BF676">
      <w:pPr>
        <w:ind w:firstLine="420"/>
        <w:rPr>
          <w:rFonts w:ascii="宋体" w:hAnsi="宋体" w:cs="宋体"/>
          <w:szCs w:val="24"/>
        </w:rPr>
      </w:pPr>
      <w:r>
        <w:rPr>
          <w:rFonts w:hint="eastAsia" w:ascii="宋体" w:hAnsi="宋体" w:cs="宋体"/>
          <w:szCs w:val="24"/>
        </w:rPr>
        <w:t>采用柱状图形式，精确统计本年度慢病患者药品购买的趋势情况。在此图表中，横坐标轴代表月份，依次排列，展示了全年的时间序列；纵坐标轴则量化了每个月的药品购买数量。每个柱状条的高度直观地反映了相应月份的药品需求量，从而揭示了慢病患者在整个年度内的购药行为模式和趋势。</w:t>
      </w:r>
    </w:p>
    <w:p w14:paraId="7C116EC2">
      <w:pPr>
        <w:ind w:firstLine="420"/>
        <w:rPr>
          <w:rFonts w:ascii="宋体" w:hAnsi="宋体" w:cs="宋体"/>
          <w:szCs w:val="24"/>
        </w:rPr>
      </w:pPr>
      <w:r>
        <w:rPr>
          <w:rFonts w:hint="eastAsia" w:ascii="宋体" w:hAnsi="宋体" w:cs="宋体"/>
          <w:szCs w:val="24"/>
        </w:rPr>
        <w:t>此图表旨在为医疗管理人员、药品供应链决策者以及公共卫生研究者提供关键的数据支持，帮助他们分析慢病药品的市场需求、库存管理以及患者用药依从性等关键指标。通过监控和解读这些购药趋势数据，相关利益主体能够更有效地规划药品供应，优化药品资源分配，并制定针对性的健康促进策略。</w:t>
      </w:r>
    </w:p>
    <w:p w14:paraId="16317C6D">
      <w:pPr>
        <w:pStyle w:val="8"/>
        <w:numPr>
          <w:ilvl w:val="5"/>
          <w:numId w:val="16"/>
        </w:numPr>
      </w:pPr>
      <w:r>
        <w:rPr>
          <w:rFonts w:hint="eastAsia"/>
        </w:rPr>
        <w:t>购药趋势</w:t>
      </w:r>
    </w:p>
    <w:p w14:paraId="571C27E0">
      <w:pPr>
        <w:pStyle w:val="3"/>
      </w:pPr>
      <w:r>
        <w:rPr>
          <w:rFonts w:hint="eastAsia" w:asciiTheme="minorEastAsia" w:hAnsiTheme="minorEastAsia" w:eastAsiaTheme="minorEastAsia"/>
        </w:rPr>
        <w:t>具备支持以下功能：</w:t>
      </w:r>
    </w:p>
    <w:p w14:paraId="63880B3D">
      <w:pPr>
        <w:ind w:firstLine="420"/>
        <w:rPr>
          <w:rFonts w:ascii="宋体" w:hAnsi="宋体" w:cs="宋体"/>
          <w:szCs w:val="24"/>
        </w:rPr>
      </w:pPr>
      <w:r>
        <w:rPr>
          <w:rFonts w:hint="eastAsia" w:ascii="宋体" w:hAnsi="宋体" w:cs="宋体"/>
          <w:szCs w:val="24"/>
        </w:rPr>
        <w:t>采用柱状图形式，精确统计本年度慢病患者药品购买的趋势情况。在此图表中，横坐标轴代表月份，依次排列，展示了全年的时间序列；纵坐标轴则量化了每个月的药品购买数量。每个柱状条的高度直观地反映了相应月份的药品需求量，从而揭示了慢病患者在整个年度内的购药行为模式和趋势。</w:t>
      </w:r>
    </w:p>
    <w:p w14:paraId="6959641D">
      <w:pPr>
        <w:pStyle w:val="8"/>
        <w:numPr>
          <w:ilvl w:val="5"/>
          <w:numId w:val="16"/>
        </w:numPr>
      </w:pPr>
      <w:r>
        <w:rPr>
          <w:rFonts w:hint="eastAsia"/>
        </w:rPr>
        <w:t>当日日期及时间</w:t>
      </w:r>
    </w:p>
    <w:p w14:paraId="2B1A87DA">
      <w:pPr>
        <w:pStyle w:val="3"/>
      </w:pPr>
      <w:r>
        <w:rPr>
          <w:rFonts w:hint="eastAsia" w:asciiTheme="minorEastAsia" w:hAnsiTheme="minorEastAsia" w:eastAsiaTheme="minorEastAsia"/>
        </w:rPr>
        <w:t>具备支持以下功能：</w:t>
      </w:r>
    </w:p>
    <w:p w14:paraId="396A0B1F">
      <w:pPr>
        <w:ind w:firstLine="420"/>
        <w:rPr>
          <w:rFonts w:ascii="宋体" w:hAnsi="宋体" w:cs="宋体"/>
          <w:szCs w:val="24"/>
        </w:rPr>
      </w:pPr>
      <w:r>
        <w:rPr>
          <w:rFonts w:hint="eastAsia" w:ascii="宋体" w:hAnsi="宋体" w:cs="宋体"/>
          <w:szCs w:val="24"/>
        </w:rPr>
        <w:t>系统界面的显著位置实时更新显示当前的日期和时间，确保用户能够一目了然地获取准确的时间信息。时间显示采用动态刷新机制，每隔一秒钟自动更新一次，以保持信息的即时性和准确性。</w:t>
      </w:r>
    </w:p>
    <w:p w14:paraId="0867A30F">
      <w:pPr>
        <w:pStyle w:val="7"/>
        <w:numPr>
          <w:ilvl w:val="4"/>
          <w:numId w:val="16"/>
        </w:numPr>
        <w:rPr>
          <w:szCs w:val="24"/>
        </w:rPr>
      </w:pPr>
      <w:r>
        <w:rPr>
          <w:rFonts w:hint="eastAsia"/>
          <w:szCs w:val="24"/>
        </w:rPr>
        <w:t>业务看板</w:t>
      </w:r>
    </w:p>
    <w:p w14:paraId="20E17AAB">
      <w:pPr>
        <w:pStyle w:val="8"/>
        <w:numPr>
          <w:ilvl w:val="5"/>
          <w:numId w:val="16"/>
        </w:numPr>
      </w:pPr>
      <w:r>
        <w:rPr>
          <w:rFonts w:hint="eastAsia"/>
        </w:rPr>
        <w:t>业务看板总览</w:t>
      </w:r>
    </w:p>
    <w:p w14:paraId="41726A18">
      <w:pPr>
        <w:pStyle w:val="3"/>
      </w:pPr>
      <w:r>
        <w:rPr>
          <w:rFonts w:hint="eastAsia" w:asciiTheme="minorEastAsia" w:hAnsiTheme="minorEastAsia" w:eastAsiaTheme="minorEastAsia"/>
        </w:rPr>
        <w:t>具备支持以下功能：</w:t>
      </w:r>
    </w:p>
    <w:p w14:paraId="2276DF94">
      <w:pPr>
        <w:ind w:firstLine="420"/>
        <w:rPr>
          <w:rFonts w:ascii="宋体" w:hAnsi="宋体" w:cs="宋体"/>
          <w:szCs w:val="24"/>
        </w:rPr>
      </w:pPr>
      <w:r>
        <w:rPr>
          <w:rFonts w:hint="eastAsia" w:ascii="宋体" w:hAnsi="宋体" w:cs="宋体"/>
          <w:szCs w:val="24"/>
        </w:rPr>
        <w:t>业务概览看板精心构筑，旨在为管理层提供全面的数据透视。该板块综合展示当前辖区内的慢性病患者总体情况，包括但不限于以下关键指标：总慢病人数、持有慢病证明的患者数量，以及尚未办理慢病证明的患者人数。通过这一综合性的数据展示，决策者能够迅速把握辖区慢性病管理的宏观态势，从而更加有效地制定和调整健康管理策略。加入“红黄绿三色分类统计”功能。</w:t>
      </w:r>
    </w:p>
    <w:p w14:paraId="072B1C87">
      <w:pPr>
        <w:pStyle w:val="8"/>
        <w:numPr>
          <w:ilvl w:val="5"/>
          <w:numId w:val="16"/>
        </w:numPr>
      </w:pPr>
      <w:r>
        <w:rPr>
          <w:rFonts w:hint="eastAsia"/>
        </w:rPr>
        <w:t>预警概览</w:t>
      </w:r>
    </w:p>
    <w:p w14:paraId="24ACDEB5">
      <w:pPr>
        <w:pStyle w:val="3"/>
      </w:pPr>
      <w:r>
        <w:rPr>
          <w:rFonts w:hint="eastAsia" w:asciiTheme="minorEastAsia" w:hAnsiTheme="minorEastAsia" w:eastAsiaTheme="minorEastAsia"/>
        </w:rPr>
        <w:t>具备支持以下功能：</w:t>
      </w:r>
    </w:p>
    <w:p w14:paraId="330E3F30">
      <w:pPr>
        <w:ind w:firstLine="420"/>
        <w:rPr>
          <w:rFonts w:ascii="宋体" w:hAnsi="宋体" w:cs="宋体"/>
          <w:szCs w:val="24"/>
        </w:rPr>
      </w:pPr>
      <w:r>
        <w:rPr>
          <w:rFonts w:hint="eastAsia" w:ascii="宋体" w:hAnsi="宋体" w:cs="宋体"/>
          <w:szCs w:val="24"/>
        </w:rPr>
        <w:t>提供了一个实时的监控窗口，主要展示以下关键指标，以便医疗工作人员及时响应和处理潜在的健康风险：</w:t>
      </w:r>
    </w:p>
    <w:p w14:paraId="0D95BAA3">
      <w:pPr>
        <w:ind w:firstLine="420"/>
        <w:rPr>
          <w:rFonts w:ascii="宋体" w:hAnsi="宋体" w:cs="宋体"/>
          <w:szCs w:val="24"/>
        </w:rPr>
      </w:pPr>
      <w:r>
        <w:rPr>
          <w:rFonts w:hint="eastAsia" w:ascii="宋体" w:hAnsi="宋体" w:cs="宋体"/>
          <w:szCs w:val="24"/>
        </w:rPr>
        <w:t>今日新增患者人数：显示当天新确诊的慢病患者数量，便于快速了解慢病发病的最新动态。</w:t>
      </w:r>
    </w:p>
    <w:p w14:paraId="18F76DDA">
      <w:pPr>
        <w:ind w:firstLine="420"/>
        <w:rPr>
          <w:rFonts w:ascii="宋体" w:hAnsi="宋体" w:cs="宋体"/>
          <w:szCs w:val="24"/>
        </w:rPr>
      </w:pPr>
      <w:r>
        <w:rPr>
          <w:rFonts w:hint="eastAsia" w:ascii="宋体" w:hAnsi="宋体" w:cs="宋体"/>
          <w:szCs w:val="24"/>
        </w:rPr>
        <w:t>血压测量人数：统计当日进行血压测量的患者数量，对于高血压患者的管理尤为重要。</w:t>
      </w:r>
    </w:p>
    <w:p w14:paraId="7A4EDA1E">
      <w:pPr>
        <w:ind w:firstLine="420"/>
        <w:rPr>
          <w:rFonts w:ascii="宋体" w:hAnsi="宋体" w:cs="宋体"/>
          <w:szCs w:val="24"/>
        </w:rPr>
      </w:pPr>
      <w:r>
        <w:rPr>
          <w:rFonts w:hint="eastAsia" w:ascii="宋体" w:hAnsi="宋体" w:cs="宋体"/>
          <w:szCs w:val="24"/>
        </w:rPr>
        <w:t>血糖测量人数：记录当日进行血糖测量的患者数量，这对于糖尿病患者监控病情变化至关重要。</w:t>
      </w:r>
    </w:p>
    <w:p w14:paraId="5ADCC89D">
      <w:pPr>
        <w:ind w:firstLine="420"/>
        <w:rPr>
          <w:rFonts w:ascii="宋体" w:hAnsi="宋体" w:cs="宋体"/>
          <w:szCs w:val="24"/>
        </w:rPr>
      </w:pPr>
      <w:r>
        <w:rPr>
          <w:rFonts w:hint="eastAsia" w:ascii="宋体" w:hAnsi="宋体" w:cs="宋体"/>
          <w:szCs w:val="24"/>
        </w:rPr>
        <w:t>血脂测量人数：展示当日进行血脂水平检测的患者数量，血脂异常是心血管疾病的重要危险因素。</w:t>
      </w:r>
    </w:p>
    <w:p w14:paraId="00113F14">
      <w:pPr>
        <w:ind w:firstLine="420"/>
        <w:rPr>
          <w:rFonts w:ascii="宋体" w:hAnsi="宋体" w:cs="宋体"/>
          <w:szCs w:val="24"/>
        </w:rPr>
      </w:pPr>
      <w:r>
        <w:rPr>
          <w:rFonts w:hint="eastAsia" w:ascii="宋体" w:hAnsi="宋体" w:cs="宋体"/>
          <w:szCs w:val="24"/>
        </w:rPr>
        <w:t>通过这一概览，医疗专业人员可以迅速识别出需要重点关注的患者群体，及时采取干预措施，如调整治疗方案、加强健康教育或进行必要的随访，从而有效预防和控制慢病相关并发症的发生。</w:t>
      </w:r>
    </w:p>
    <w:p w14:paraId="618E2F18">
      <w:pPr>
        <w:pStyle w:val="8"/>
        <w:numPr>
          <w:ilvl w:val="5"/>
          <w:numId w:val="16"/>
        </w:numPr>
      </w:pPr>
      <w:r>
        <w:rPr>
          <w:rFonts w:hint="eastAsia"/>
        </w:rPr>
        <w:t>回访概览</w:t>
      </w:r>
    </w:p>
    <w:p w14:paraId="5DF7009D">
      <w:pPr>
        <w:pStyle w:val="3"/>
      </w:pPr>
      <w:r>
        <w:rPr>
          <w:rFonts w:hint="eastAsia" w:asciiTheme="minorEastAsia" w:hAnsiTheme="minorEastAsia" w:eastAsiaTheme="minorEastAsia"/>
        </w:rPr>
        <w:t>具备支持以下功能：</w:t>
      </w:r>
    </w:p>
    <w:p w14:paraId="5AABE3A0">
      <w:pPr>
        <w:ind w:firstLine="420"/>
        <w:rPr>
          <w:rFonts w:ascii="宋体" w:hAnsi="宋体" w:cs="宋体"/>
          <w:szCs w:val="24"/>
        </w:rPr>
      </w:pPr>
      <w:r>
        <w:rPr>
          <w:rFonts w:hint="eastAsia" w:ascii="宋体" w:hAnsi="宋体" w:cs="宋体"/>
          <w:szCs w:val="24"/>
        </w:rPr>
        <w:t>“回访概览”板块提供了一个全面的回访工作概览，主要包括以下数据指标：</w:t>
      </w:r>
    </w:p>
    <w:p w14:paraId="74BB97CF">
      <w:pPr>
        <w:ind w:firstLine="420"/>
        <w:rPr>
          <w:rFonts w:ascii="宋体" w:hAnsi="宋体" w:cs="宋体"/>
          <w:szCs w:val="24"/>
        </w:rPr>
      </w:pPr>
      <w:r>
        <w:rPr>
          <w:rFonts w:hint="eastAsia" w:ascii="宋体" w:hAnsi="宋体" w:cs="宋体"/>
          <w:szCs w:val="24"/>
        </w:rPr>
        <w:t>总回访人数：展示了自回访计划开始至今，总共完成回访的患者人数，反映了回访工作的总体规模。</w:t>
      </w:r>
    </w:p>
    <w:p w14:paraId="671AAAF9">
      <w:pPr>
        <w:ind w:firstLine="420"/>
        <w:rPr>
          <w:rFonts w:ascii="宋体" w:hAnsi="宋体" w:cs="宋体"/>
          <w:szCs w:val="24"/>
        </w:rPr>
      </w:pPr>
      <w:r>
        <w:rPr>
          <w:rFonts w:hint="eastAsia" w:ascii="宋体" w:hAnsi="宋体" w:cs="宋体"/>
          <w:szCs w:val="24"/>
        </w:rPr>
        <w:t>今日总回访人数：显示了在当天内，工作人员尝试进行回访的患者总数，反映了当天的回访工作量。</w:t>
      </w:r>
    </w:p>
    <w:p w14:paraId="4B9644A4">
      <w:pPr>
        <w:ind w:firstLine="420"/>
        <w:rPr>
          <w:rFonts w:ascii="宋体" w:hAnsi="宋体" w:cs="宋体"/>
          <w:szCs w:val="24"/>
        </w:rPr>
      </w:pPr>
      <w:r>
        <w:rPr>
          <w:rFonts w:hint="eastAsia" w:ascii="宋体" w:hAnsi="宋体" w:cs="宋体"/>
          <w:szCs w:val="24"/>
        </w:rPr>
        <w:t>今日回访有效数：统计了在当天内成功完成并得到有效回应的回访次数，这是衡量回访效率和质量的重要指标。</w:t>
      </w:r>
    </w:p>
    <w:p w14:paraId="3C48E630">
      <w:pPr>
        <w:ind w:firstLine="420"/>
        <w:rPr>
          <w:rFonts w:ascii="宋体" w:hAnsi="宋体" w:cs="宋体"/>
          <w:szCs w:val="24"/>
        </w:rPr>
      </w:pPr>
      <w:r>
        <w:rPr>
          <w:rFonts w:hint="eastAsia" w:ascii="宋体" w:hAnsi="宋体" w:cs="宋体"/>
          <w:szCs w:val="24"/>
        </w:rPr>
        <w:t>剩余未回访人数：展示了截至目前，尚未进行回访的患者人数，帮助工作人员识别和管理待完成的回访任务。</w:t>
      </w:r>
    </w:p>
    <w:p w14:paraId="12E9900E">
      <w:pPr>
        <w:ind w:firstLine="420"/>
        <w:rPr>
          <w:rFonts w:ascii="宋体" w:hAnsi="宋体" w:cs="宋体"/>
          <w:szCs w:val="24"/>
        </w:rPr>
      </w:pPr>
      <w:r>
        <w:rPr>
          <w:rFonts w:hint="eastAsia" w:ascii="宋体" w:hAnsi="宋体" w:cs="宋体"/>
          <w:szCs w:val="24"/>
        </w:rPr>
        <w:t>这个概览板块旨在帮助医疗管理人员和工作人员快速掌握回访工作的整体进展，确保回访工作的连续性和有效性，同时也能够及时发现并解决回访过程中可能存在的问题。</w:t>
      </w:r>
    </w:p>
    <w:p w14:paraId="7803400E">
      <w:pPr>
        <w:pStyle w:val="8"/>
        <w:numPr>
          <w:ilvl w:val="5"/>
          <w:numId w:val="16"/>
        </w:numPr>
      </w:pPr>
      <w:r>
        <w:rPr>
          <w:rFonts w:hint="eastAsia"/>
        </w:rPr>
        <w:t>协诊量统计</w:t>
      </w:r>
    </w:p>
    <w:p w14:paraId="7A3E523F">
      <w:pPr>
        <w:pStyle w:val="3"/>
      </w:pPr>
      <w:r>
        <w:rPr>
          <w:rFonts w:hint="eastAsia" w:asciiTheme="minorEastAsia" w:hAnsiTheme="minorEastAsia" w:eastAsiaTheme="minorEastAsia"/>
        </w:rPr>
        <w:t>具备支持以下功能：</w:t>
      </w:r>
    </w:p>
    <w:p w14:paraId="3E238617">
      <w:pPr>
        <w:ind w:firstLine="420"/>
        <w:rPr>
          <w:rFonts w:ascii="宋体" w:hAnsi="宋体" w:cs="宋体"/>
          <w:szCs w:val="24"/>
        </w:rPr>
      </w:pPr>
      <w:r>
        <w:rPr>
          <w:rFonts w:hint="eastAsia" w:ascii="宋体" w:hAnsi="宋体" w:cs="宋体"/>
          <w:szCs w:val="24"/>
        </w:rPr>
        <w:t>“协诊量统计”模块精确记录并展示了当前用户或医疗工作者在指定时间段内总共接诊的患者人数。这一统计数据不仅反映了医疗工作者的工作负荷，也为评估医疗服务能力、工作绩效和资源分配提供了重要依据。</w:t>
      </w:r>
    </w:p>
    <w:p w14:paraId="2B1D2AC0">
      <w:pPr>
        <w:pStyle w:val="8"/>
        <w:numPr>
          <w:ilvl w:val="5"/>
          <w:numId w:val="16"/>
        </w:numPr>
      </w:pPr>
      <w:r>
        <w:rPr>
          <w:rFonts w:hint="eastAsia"/>
        </w:rPr>
        <w:t>转诊量统计</w:t>
      </w:r>
    </w:p>
    <w:p w14:paraId="7EFDE68A">
      <w:pPr>
        <w:pStyle w:val="3"/>
      </w:pPr>
      <w:r>
        <w:rPr>
          <w:rFonts w:hint="eastAsia" w:asciiTheme="minorEastAsia" w:hAnsiTheme="minorEastAsia" w:eastAsiaTheme="minorEastAsia"/>
        </w:rPr>
        <w:t>具备支持以下功能：</w:t>
      </w:r>
    </w:p>
    <w:p w14:paraId="0CE0E743">
      <w:pPr>
        <w:ind w:firstLine="420"/>
        <w:rPr>
          <w:rFonts w:ascii="宋体" w:hAnsi="宋体" w:cs="宋体"/>
          <w:szCs w:val="24"/>
        </w:rPr>
      </w:pPr>
      <w:r>
        <w:rPr>
          <w:rFonts w:hint="eastAsia" w:ascii="宋体" w:hAnsi="宋体" w:cs="宋体"/>
          <w:szCs w:val="24"/>
        </w:rPr>
        <w:t>“转诊量统计”模块旨在详细记录并汇总当前用户或医疗工作者在特定时间段内总共转诊的患者人数。这一数据统计对于监测患者的流转情况、评估转诊效率和医疗服务质量具有重要意义。通过分析转诊量，医疗机构能够更好地理解患者的需求，优化转诊流程，确保患者得到及时和适当的医疗服务。</w:t>
      </w:r>
    </w:p>
    <w:p w14:paraId="2624F337">
      <w:pPr>
        <w:pStyle w:val="8"/>
        <w:numPr>
          <w:ilvl w:val="5"/>
          <w:numId w:val="16"/>
        </w:numPr>
      </w:pPr>
      <w:r>
        <w:rPr>
          <w:rFonts w:hint="eastAsia"/>
        </w:rPr>
        <w:t>慢特病种II类病</w:t>
      </w:r>
    </w:p>
    <w:p w14:paraId="58A2CAF2">
      <w:pPr>
        <w:pStyle w:val="3"/>
      </w:pPr>
      <w:r>
        <w:rPr>
          <w:rFonts w:hint="eastAsia" w:asciiTheme="minorEastAsia" w:hAnsiTheme="minorEastAsia" w:eastAsiaTheme="minorEastAsia"/>
        </w:rPr>
        <w:t>具备支持以下功能：</w:t>
      </w:r>
    </w:p>
    <w:p w14:paraId="52D9E319">
      <w:pPr>
        <w:ind w:firstLine="420"/>
        <w:rPr>
          <w:rFonts w:ascii="宋体" w:hAnsi="宋体" w:cs="宋体"/>
          <w:szCs w:val="24"/>
        </w:rPr>
      </w:pPr>
      <w:r>
        <w:rPr>
          <w:rFonts w:hint="eastAsia" w:ascii="宋体" w:hAnsi="宋体" w:cs="宋体"/>
          <w:szCs w:val="24"/>
        </w:rPr>
        <w:t>“慢特病种II类病”模块专注于国家规定的52种二类慢性病的管理与监控。该模块详细展示了各类慢性病患者的人数，包括但不限于以下疾病：</w:t>
      </w:r>
    </w:p>
    <w:p w14:paraId="11D5484B">
      <w:pPr>
        <w:ind w:firstLine="420"/>
        <w:rPr>
          <w:rFonts w:ascii="宋体" w:hAnsi="宋体" w:cs="宋体"/>
          <w:szCs w:val="24"/>
        </w:rPr>
      </w:pPr>
      <w:r>
        <w:rPr>
          <w:rFonts w:hint="eastAsia" w:ascii="宋体" w:hAnsi="宋体" w:cs="宋体"/>
          <w:szCs w:val="24"/>
        </w:rPr>
        <w:t>高血压</w:t>
      </w:r>
    </w:p>
    <w:p w14:paraId="2F994359">
      <w:pPr>
        <w:ind w:firstLine="420"/>
        <w:rPr>
          <w:rFonts w:ascii="宋体" w:hAnsi="宋体" w:cs="宋体"/>
          <w:szCs w:val="24"/>
        </w:rPr>
      </w:pPr>
      <w:r>
        <w:rPr>
          <w:rFonts w:hint="eastAsia" w:ascii="宋体" w:hAnsi="宋体" w:cs="宋体"/>
          <w:szCs w:val="24"/>
        </w:rPr>
        <w:t>糖尿病</w:t>
      </w:r>
    </w:p>
    <w:p w14:paraId="1C70B9A1">
      <w:pPr>
        <w:ind w:firstLine="420"/>
        <w:rPr>
          <w:rFonts w:ascii="宋体" w:hAnsi="宋体" w:cs="宋体"/>
          <w:szCs w:val="24"/>
        </w:rPr>
      </w:pPr>
      <w:r>
        <w:rPr>
          <w:rFonts w:hint="eastAsia" w:ascii="宋体" w:hAnsi="宋体" w:cs="宋体"/>
          <w:szCs w:val="24"/>
        </w:rPr>
        <w:t>冠心病</w:t>
      </w:r>
    </w:p>
    <w:p w14:paraId="43591BAE">
      <w:pPr>
        <w:ind w:firstLine="420"/>
        <w:rPr>
          <w:rFonts w:ascii="宋体" w:hAnsi="宋体" w:cs="宋体"/>
          <w:szCs w:val="24"/>
        </w:rPr>
      </w:pPr>
      <w:r>
        <w:rPr>
          <w:rFonts w:hint="eastAsia" w:ascii="宋体" w:hAnsi="宋体" w:cs="宋体"/>
          <w:szCs w:val="24"/>
        </w:rPr>
        <w:t>脑梗死</w:t>
      </w:r>
    </w:p>
    <w:p w14:paraId="556385E1">
      <w:pPr>
        <w:ind w:firstLine="420"/>
        <w:rPr>
          <w:rFonts w:ascii="宋体" w:hAnsi="宋体" w:cs="宋体"/>
          <w:szCs w:val="24"/>
        </w:rPr>
      </w:pPr>
      <w:r>
        <w:rPr>
          <w:rFonts w:hint="eastAsia" w:ascii="宋体" w:hAnsi="宋体" w:cs="宋体"/>
          <w:szCs w:val="24"/>
        </w:rPr>
        <w:t>慢性阻塞性肺疾病（慢阻肺）</w:t>
      </w:r>
    </w:p>
    <w:p w14:paraId="1F709941">
      <w:pPr>
        <w:ind w:firstLine="420"/>
        <w:rPr>
          <w:rFonts w:ascii="宋体" w:hAnsi="宋体" w:cs="宋体"/>
          <w:szCs w:val="24"/>
        </w:rPr>
      </w:pPr>
      <w:r>
        <w:rPr>
          <w:rFonts w:hint="eastAsia" w:ascii="宋体" w:hAnsi="宋体" w:cs="宋体"/>
          <w:szCs w:val="24"/>
        </w:rPr>
        <w:t>通过对这些慢性病患者人数的统计和分析，医疗工作者和决策者能够更好地了解慢性病在特定地区或人群中的分布情况，从而制定相应的预防、治疗和管理策略。这一模块的功能可能包括：</w:t>
      </w:r>
    </w:p>
    <w:p w14:paraId="26A9D2AE">
      <w:pPr>
        <w:ind w:firstLine="420"/>
        <w:rPr>
          <w:rFonts w:ascii="宋体" w:hAnsi="宋体" w:cs="宋体"/>
          <w:szCs w:val="24"/>
        </w:rPr>
      </w:pPr>
      <w:r>
        <w:rPr>
          <w:rFonts w:hint="eastAsia" w:ascii="宋体" w:hAnsi="宋体" w:cs="宋体"/>
          <w:szCs w:val="24"/>
        </w:rPr>
        <w:t>实时更新患者人数，提供动态数据监控。</w:t>
      </w:r>
    </w:p>
    <w:p w14:paraId="56A47FD4">
      <w:pPr>
        <w:ind w:firstLine="420"/>
        <w:rPr>
          <w:rFonts w:ascii="宋体" w:hAnsi="宋体" w:cs="宋体"/>
          <w:szCs w:val="24"/>
        </w:rPr>
      </w:pPr>
      <w:r>
        <w:rPr>
          <w:rFonts w:hint="eastAsia" w:ascii="宋体" w:hAnsi="宋体" w:cs="宋体"/>
          <w:szCs w:val="24"/>
        </w:rPr>
        <w:t>按疾病种类、年龄段、性别等不同维度进行数据筛选和统计。</w:t>
      </w:r>
    </w:p>
    <w:p w14:paraId="0DFAF726">
      <w:pPr>
        <w:ind w:firstLine="420"/>
        <w:rPr>
          <w:rFonts w:ascii="宋体" w:hAnsi="宋体" w:cs="宋体"/>
          <w:szCs w:val="24"/>
        </w:rPr>
      </w:pPr>
      <w:r>
        <w:rPr>
          <w:rFonts w:hint="eastAsia" w:ascii="宋体" w:hAnsi="宋体" w:cs="宋体"/>
          <w:szCs w:val="24"/>
        </w:rPr>
        <w:t>分析疾病发展趋势，预测未来慢性病患者的增长情况。</w:t>
      </w:r>
    </w:p>
    <w:p w14:paraId="714FC981">
      <w:pPr>
        <w:ind w:firstLine="420"/>
        <w:rPr>
          <w:rFonts w:ascii="宋体" w:hAnsi="宋体" w:cs="宋体"/>
          <w:szCs w:val="24"/>
        </w:rPr>
      </w:pPr>
      <w:r>
        <w:rPr>
          <w:rFonts w:hint="eastAsia" w:ascii="宋体" w:hAnsi="宋体" w:cs="宋体"/>
          <w:szCs w:val="24"/>
        </w:rPr>
        <w:t>为公共卫生决策提供数据支持，优化资源配置。</w:t>
      </w:r>
    </w:p>
    <w:p w14:paraId="20CEB7CB">
      <w:pPr>
        <w:ind w:firstLine="420"/>
        <w:rPr>
          <w:rFonts w:ascii="宋体" w:hAnsi="宋体" w:cs="宋体"/>
          <w:szCs w:val="24"/>
        </w:rPr>
      </w:pPr>
      <w:r>
        <w:rPr>
          <w:rFonts w:hint="eastAsia" w:ascii="宋体" w:hAnsi="宋体" w:cs="宋体"/>
          <w:szCs w:val="24"/>
        </w:rPr>
        <w:t>支持打印报表和导出数据，便于会议讨论和资料存档。</w:t>
      </w:r>
    </w:p>
    <w:p w14:paraId="2E64C83A">
      <w:pPr>
        <w:pStyle w:val="7"/>
        <w:numPr>
          <w:ilvl w:val="4"/>
          <w:numId w:val="16"/>
        </w:numPr>
        <w:rPr>
          <w:szCs w:val="24"/>
        </w:rPr>
      </w:pPr>
      <w:r>
        <w:rPr>
          <w:rFonts w:hint="eastAsia"/>
          <w:szCs w:val="24"/>
        </w:rPr>
        <w:t>统计分析</w:t>
      </w:r>
    </w:p>
    <w:p w14:paraId="3B56403E">
      <w:pPr>
        <w:pStyle w:val="8"/>
        <w:numPr>
          <w:ilvl w:val="5"/>
          <w:numId w:val="16"/>
        </w:numPr>
      </w:pPr>
      <w:r>
        <w:rPr>
          <w:rFonts w:hint="eastAsia"/>
        </w:rPr>
        <w:t>总概览统计</w:t>
      </w:r>
    </w:p>
    <w:p w14:paraId="7BEC8024">
      <w:pPr>
        <w:pStyle w:val="3"/>
      </w:pPr>
      <w:r>
        <w:rPr>
          <w:rFonts w:hint="eastAsia" w:asciiTheme="minorEastAsia" w:hAnsiTheme="minorEastAsia" w:eastAsiaTheme="minorEastAsia"/>
        </w:rPr>
        <w:t>具备支持以下功能：</w:t>
      </w:r>
    </w:p>
    <w:p w14:paraId="1C260207">
      <w:pPr>
        <w:pStyle w:val="195"/>
        <w:spacing w:before="163" w:after="163"/>
      </w:pPr>
      <w:r>
        <w:rPr>
          <w:rFonts w:hint="eastAsia"/>
        </w:rPr>
        <w:t>“总概览统计”功能提供了一个全面的查询工具，允许用户按照年、月、日的不同粒度来检索和统计关键指标。这些指标包括：</w:t>
      </w:r>
    </w:p>
    <w:p w14:paraId="7E0175E5">
      <w:pPr>
        <w:pStyle w:val="195"/>
        <w:spacing w:before="163" w:after="163"/>
      </w:pPr>
      <w:r>
        <w:rPr>
          <w:rFonts w:hint="eastAsia"/>
        </w:rPr>
        <w:t>总慢病人数：统计在选定时间段内，系统记录的慢病患者总数。</w:t>
      </w:r>
    </w:p>
    <w:p w14:paraId="38CCA92A">
      <w:pPr>
        <w:pStyle w:val="195"/>
        <w:spacing w:before="163" w:after="163"/>
      </w:pPr>
      <w:r>
        <w:rPr>
          <w:rFonts w:hint="eastAsia"/>
        </w:rPr>
        <w:t>总回访人数：显示在相同时间段内，尝试进行回访的患者总次数。</w:t>
      </w:r>
    </w:p>
    <w:p w14:paraId="134E2105">
      <w:pPr>
        <w:pStyle w:val="195"/>
        <w:spacing w:before="163" w:after="163"/>
      </w:pPr>
      <w:r>
        <w:rPr>
          <w:rFonts w:hint="eastAsia"/>
        </w:rPr>
        <w:t>总回访有效数：记录在回访过程中得到有效回应的次数，即成功完成的回访。</w:t>
      </w:r>
    </w:p>
    <w:p w14:paraId="56580034">
      <w:pPr>
        <w:pStyle w:val="195"/>
        <w:spacing w:before="163" w:after="163"/>
      </w:pPr>
      <w:r>
        <w:rPr>
          <w:rFonts w:hint="eastAsia"/>
        </w:rPr>
        <w:t>总回访无效数：统计在回访过程中未能得到有效回应的次数，包括未接通、拒绝回访等情况。</w:t>
      </w:r>
    </w:p>
    <w:p w14:paraId="26A16DCE">
      <w:pPr>
        <w:pStyle w:val="8"/>
        <w:numPr>
          <w:ilvl w:val="5"/>
          <w:numId w:val="16"/>
        </w:numPr>
      </w:pPr>
      <w:r>
        <w:rPr>
          <w:rFonts w:hint="eastAsia"/>
        </w:rPr>
        <w:t>今日概览</w:t>
      </w:r>
    </w:p>
    <w:p w14:paraId="6F087C73">
      <w:pPr>
        <w:pStyle w:val="3"/>
      </w:pPr>
      <w:r>
        <w:rPr>
          <w:rFonts w:hint="eastAsia" w:asciiTheme="minorEastAsia" w:hAnsiTheme="minorEastAsia" w:eastAsiaTheme="minorEastAsia"/>
        </w:rPr>
        <w:t>具备支持以下功能：</w:t>
      </w:r>
    </w:p>
    <w:p w14:paraId="5084EA99">
      <w:pPr>
        <w:pStyle w:val="195"/>
        <w:spacing w:before="163" w:after="163"/>
      </w:pPr>
      <w:r>
        <w:rPr>
          <w:rFonts w:hint="eastAsia"/>
        </w:rPr>
        <w:t>为用户提供了一个实时的数据快照，专注于展示当天的慢病回访工作情况。以下是该模块支持查看和统计的关键指标：</w:t>
      </w:r>
    </w:p>
    <w:p w14:paraId="33F1BEAE">
      <w:pPr>
        <w:pStyle w:val="195"/>
        <w:spacing w:before="163" w:after="163"/>
      </w:pPr>
      <w:r>
        <w:rPr>
          <w:rFonts w:hint="eastAsia"/>
        </w:rPr>
        <w:t>今日待回访人数：列出了当天计划内需要完成回访的患者数量，帮助工作人员优先安排回访任务。</w:t>
      </w:r>
    </w:p>
    <w:p w14:paraId="24C714E9">
      <w:pPr>
        <w:pStyle w:val="195"/>
        <w:spacing w:before="163" w:after="163"/>
      </w:pPr>
      <w:r>
        <w:rPr>
          <w:rFonts w:hint="eastAsia"/>
        </w:rPr>
        <w:t>今日总回访人数：显示了从当天开始至当前时间，工作人员已经尝试进行回访的患者总数。</w:t>
      </w:r>
    </w:p>
    <w:p w14:paraId="714CB58F">
      <w:pPr>
        <w:pStyle w:val="195"/>
        <w:spacing w:before="163" w:after="163"/>
      </w:pPr>
      <w:r>
        <w:rPr>
          <w:rFonts w:hint="eastAsia"/>
        </w:rPr>
        <w:t>今日回访有效数：统计了当天内成功完成并得到有效回应的回访次数，反映了当天回访工作的成效。</w:t>
      </w:r>
    </w:p>
    <w:p w14:paraId="6E1A92B3">
      <w:pPr>
        <w:pStyle w:val="195"/>
        <w:spacing w:before="163" w:after="163"/>
      </w:pPr>
      <w:r>
        <w:rPr>
          <w:rFonts w:hint="eastAsia"/>
        </w:rPr>
        <w:t>今日回访无效数：记录了当天内尝试回访但未能得到有效回应的次数，包括未接通、拒绝回访等情况。</w:t>
      </w:r>
    </w:p>
    <w:p w14:paraId="7E571425">
      <w:pPr>
        <w:pStyle w:val="8"/>
        <w:numPr>
          <w:ilvl w:val="5"/>
          <w:numId w:val="16"/>
        </w:numPr>
      </w:pPr>
      <w:r>
        <w:rPr>
          <w:rFonts w:hint="eastAsia"/>
        </w:rPr>
        <w:t>本年度回访趋势统计</w:t>
      </w:r>
    </w:p>
    <w:p w14:paraId="5C99FBA2">
      <w:pPr>
        <w:pStyle w:val="3"/>
      </w:pPr>
      <w:r>
        <w:rPr>
          <w:rFonts w:hint="eastAsia" w:asciiTheme="minorEastAsia" w:hAnsiTheme="minorEastAsia" w:eastAsiaTheme="minorEastAsia"/>
        </w:rPr>
        <w:t>具备支持以下功能：</w:t>
      </w:r>
    </w:p>
    <w:p w14:paraId="605AF72D">
      <w:pPr>
        <w:pStyle w:val="195"/>
        <w:spacing w:before="163" w:after="163"/>
        <w:ind w:firstLine="440"/>
      </w:pPr>
      <w:r>
        <w:rPr>
          <w:rFonts w:hint="eastAsia" w:ascii="等线" w:hAnsi="等线" w:eastAsia="等线"/>
          <w:sz w:val="22"/>
        </w:rPr>
        <w:t>　</w:t>
      </w:r>
      <w:r>
        <w:rPr>
          <w:rFonts w:hint="eastAsia"/>
        </w:rPr>
        <w:t>“本年度回访趋势统计”模块利用折线图的形式，为用户提供了一个直观的时间序列分析，帮助用户理解和分析本年度内回访工作的有效性和趋势。以下是该模块的详细统计内容：</w:t>
      </w:r>
    </w:p>
    <w:p w14:paraId="67EB53C2">
      <w:pPr>
        <w:pStyle w:val="195"/>
        <w:spacing w:before="163" w:after="163"/>
      </w:pPr>
      <w:r>
        <w:rPr>
          <w:rFonts w:hint="eastAsia"/>
        </w:rPr>
        <w:t>有效回访数趋势：折线图上的一条线（通常用不同的颜色或样式表示）展示了从年初到当前月份，每个月有效回访数量的变化趋势。通过观察这条趋势线，用户可以识别出哪些月份有效回访数量较高，哪些月份较低，从而分析可能的影响因素，如季节性变化、市场活动、政策调整等。</w:t>
      </w:r>
    </w:p>
    <w:p w14:paraId="796A74DC">
      <w:pPr>
        <w:pStyle w:val="195"/>
        <w:spacing w:before="163" w:after="163"/>
      </w:pPr>
      <w:r>
        <w:rPr>
          <w:rFonts w:hint="eastAsia"/>
        </w:rPr>
        <w:t>无效回访数趋势：另一条折线展示了相同时间范围内无效回访数量的变化。这条趋势线同样可以帮助用户识别无效回访的高峰和低谷，以及可能的模式和周期性变化。</w:t>
      </w:r>
    </w:p>
    <w:p w14:paraId="17483A89">
      <w:pPr>
        <w:pStyle w:val="8"/>
        <w:numPr>
          <w:ilvl w:val="5"/>
          <w:numId w:val="16"/>
        </w:numPr>
      </w:pPr>
      <w:r>
        <w:rPr>
          <w:rFonts w:hint="eastAsia"/>
        </w:rPr>
        <w:t>各病种达标率统计</w:t>
      </w:r>
    </w:p>
    <w:p w14:paraId="69CA0FBA">
      <w:pPr>
        <w:pStyle w:val="3"/>
      </w:pPr>
      <w:r>
        <w:rPr>
          <w:rFonts w:hint="eastAsia" w:asciiTheme="minorEastAsia" w:hAnsiTheme="minorEastAsia" w:eastAsiaTheme="minorEastAsia"/>
        </w:rPr>
        <w:t>具备支持以下功能：</w:t>
      </w:r>
    </w:p>
    <w:p w14:paraId="7264450C">
      <w:pPr>
        <w:pStyle w:val="195"/>
        <w:spacing w:before="163" w:after="163"/>
      </w:pPr>
      <w:r>
        <w:rPr>
          <w:rFonts w:hint="eastAsia"/>
        </w:rPr>
        <w:t>统计各类检验检查、体检、筛查等数据并计算相关的达标率，支持按年/季度/月/周/日等维度统计各成员的工作量，包含及时完成率、服务有效性、纳管率、患者管理达标率、病种筛查完成率</w:t>
      </w:r>
    </w:p>
    <w:p w14:paraId="7A9889E4">
      <w:pPr>
        <w:pStyle w:val="8"/>
        <w:numPr>
          <w:ilvl w:val="5"/>
          <w:numId w:val="16"/>
        </w:numPr>
      </w:pPr>
      <w:r>
        <w:rPr>
          <w:rFonts w:hint="eastAsia"/>
        </w:rPr>
        <w:t>工作量汇总统计</w:t>
      </w:r>
    </w:p>
    <w:p w14:paraId="53E16FEB">
      <w:pPr>
        <w:pStyle w:val="3"/>
      </w:pPr>
      <w:r>
        <w:rPr>
          <w:rFonts w:hint="eastAsia" w:asciiTheme="minorEastAsia" w:hAnsiTheme="minorEastAsia" w:eastAsiaTheme="minorEastAsia"/>
        </w:rPr>
        <w:t>具备支持以下功能：</w:t>
      </w:r>
    </w:p>
    <w:p w14:paraId="793564D1">
      <w:pPr>
        <w:pStyle w:val="195"/>
        <w:spacing w:before="163" w:after="163"/>
      </w:pPr>
      <w:r>
        <w:rPr>
          <w:rFonts w:hint="eastAsia"/>
        </w:rPr>
        <w:t>统计和分析各团队、各成员的日常工作进展、工作量、完成率等数据，对实际管理工作进行监管，及时修正和改善管理过程中的问题，对于各类管理任务产生的相关数据、完成时效、达标情况等情况进行分析，掌握各团队的管理质量，所有的统计数据支持用户查看和展示。</w:t>
      </w:r>
    </w:p>
    <w:p w14:paraId="7AA4C635">
      <w:pPr>
        <w:pStyle w:val="8"/>
        <w:numPr>
          <w:ilvl w:val="5"/>
          <w:numId w:val="16"/>
        </w:numPr>
      </w:pPr>
      <w:r>
        <w:rPr>
          <w:rFonts w:hint="eastAsia"/>
        </w:rPr>
        <w:t>本月度回访趋势统计</w:t>
      </w:r>
    </w:p>
    <w:p w14:paraId="3CD36686">
      <w:pPr>
        <w:pStyle w:val="3"/>
      </w:pPr>
      <w:r>
        <w:rPr>
          <w:rFonts w:hint="eastAsia" w:asciiTheme="minorEastAsia" w:hAnsiTheme="minorEastAsia" w:eastAsiaTheme="minorEastAsia"/>
        </w:rPr>
        <w:t>具备支持以下功能：</w:t>
      </w:r>
    </w:p>
    <w:p w14:paraId="592B7082">
      <w:pPr>
        <w:pStyle w:val="195"/>
        <w:spacing w:before="163" w:after="163"/>
      </w:pPr>
      <w:r>
        <w:rPr>
          <w:rFonts w:hint="eastAsia"/>
        </w:rPr>
        <w:t>“本月度回访趋势统计”功能通过折线图详细记录了本月内每一天的回访情况，包括有效回访数和无效回访数的变化趋势。这样的可视化展示有助于快速识别每日回访效率的波动，从而及时调整策略，优化回访流程。具体表现如下：</w:t>
      </w:r>
    </w:p>
    <w:p w14:paraId="2FAF6B87">
      <w:pPr>
        <w:pStyle w:val="195"/>
        <w:spacing w:before="163" w:after="163"/>
      </w:pPr>
      <w:r>
        <w:rPr>
          <w:rFonts w:hint="eastAsia"/>
        </w:rPr>
        <w:t>每日有效回访数趋势：折线图上的一条线展示了本月从第一天到最后一天，每日有效回访数量的增减变化，让用户能够一目了然地看到哪些天的回访效果较好。</w:t>
      </w:r>
    </w:p>
    <w:p w14:paraId="3395A26C">
      <w:pPr>
        <w:pStyle w:val="195"/>
        <w:spacing w:before="163" w:after="163"/>
      </w:pPr>
      <w:r>
        <w:rPr>
          <w:rFonts w:hint="eastAsia"/>
        </w:rPr>
        <w:t>每日无效回访数趋势：另一条折线则对应展示了无效回访的每日数据，帮助用户追踪无效回访的高发时段，并探究背后的原因。</w:t>
      </w:r>
    </w:p>
    <w:p w14:paraId="588CBB3D">
      <w:pPr>
        <w:pStyle w:val="7"/>
        <w:numPr>
          <w:ilvl w:val="4"/>
          <w:numId w:val="16"/>
        </w:numPr>
        <w:rPr>
          <w:szCs w:val="24"/>
        </w:rPr>
      </w:pPr>
      <w:r>
        <w:rPr>
          <w:rFonts w:hint="eastAsia"/>
          <w:szCs w:val="24"/>
        </w:rPr>
        <w:t>慢病签约</w:t>
      </w:r>
    </w:p>
    <w:p w14:paraId="6B79435B">
      <w:pPr>
        <w:pStyle w:val="8"/>
        <w:numPr>
          <w:ilvl w:val="5"/>
          <w:numId w:val="16"/>
        </w:numPr>
      </w:pPr>
      <w:r>
        <w:rPr>
          <w:rFonts w:hint="eastAsia"/>
        </w:rPr>
        <w:t>查看签约居民详细信息</w:t>
      </w:r>
    </w:p>
    <w:p w14:paraId="49E432E4">
      <w:pPr>
        <w:pStyle w:val="3"/>
      </w:pPr>
      <w:r>
        <w:rPr>
          <w:rFonts w:hint="eastAsia" w:asciiTheme="minorEastAsia" w:hAnsiTheme="minorEastAsia" w:eastAsiaTheme="minorEastAsia"/>
        </w:rPr>
        <w:t>具备支持以下功能：</w:t>
      </w:r>
    </w:p>
    <w:p w14:paraId="3D631EB9">
      <w:pPr>
        <w:pStyle w:val="195"/>
        <w:spacing w:before="163" w:after="163"/>
      </w:pPr>
      <w:r>
        <w:rPr>
          <w:rFonts w:hint="eastAsia"/>
        </w:rPr>
        <w:t>轻松浏览签约居民资料，只需轻点居民姓名，即可高效进入并查看其全面详细的个人信息。</w:t>
      </w:r>
    </w:p>
    <w:p w14:paraId="07AAABA9">
      <w:pPr>
        <w:pStyle w:val="8"/>
        <w:numPr>
          <w:ilvl w:val="5"/>
          <w:numId w:val="16"/>
        </w:numPr>
      </w:pPr>
      <w:r>
        <w:rPr>
          <w:rFonts w:hint="eastAsia"/>
        </w:rPr>
        <w:t>签约-选择服务包以及服务项</w:t>
      </w:r>
    </w:p>
    <w:p w14:paraId="4AD567F6">
      <w:pPr>
        <w:pStyle w:val="3"/>
      </w:pPr>
      <w:r>
        <w:rPr>
          <w:rFonts w:hint="eastAsia" w:asciiTheme="minorEastAsia" w:hAnsiTheme="minorEastAsia" w:eastAsiaTheme="minorEastAsia"/>
        </w:rPr>
        <w:t>具备支持以下功能：</w:t>
      </w:r>
    </w:p>
    <w:p w14:paraId="3B942336">
      <w:pPr>
        <w:pStyle w:val="195"/>
        <w:spacing w:before="163" w:after="163"/>
      </w:pPr>
      <w:r>
        <w:rPr>
          <w:rFonts w:hint="eastAsia"/>
        </w:rPr>
        <w:t>在签约过程中，居民可以根据自己的健康状况和需求，选择适合的服务包。这些服务包通常是经过专业设计的，包含了针对不同慢病或健康问题的标准化服务项目。例如，对于糖尿病患者，可能有一个包含定期血糖监测、药物调整、饮食咨询和运动指导的服务包。</w:t>
      </w:r>
    </w:p>
    <w:p w14:paraId="1E5841B2">
      <w:pPr>
        <w:pStyle w:val="195"/>
        <w:spacing w:before="163" w:after="163"/>
      </w:pPr>
      <w:r>
        <w:rPr>
          <w:rFonts w:hint="eastAsia"/>
        </w:rPr>
        <w:t>同时，系统也提供了灵活性，允许居民根据自己的特殊情况，直接选择自定义的服务项目。这种个性化的选择方式确保了每位居民都能得到最贴近自己需求的健康管理服务</w:t>
      </w:r>
    </w:p>
    <w:p w14:paraId="4A82C467">
      <w:pPr>
        <w:pStyle w:val="8"/>
        <w:numPr>
          <w:ilvl w:val="5"/>
          <w:numId w:val="16"/>
        </w:numPr>
      </w:pPr>
      <w:r>
        <w:rPr>
          <w:rFonts w:hint="eastAsia"/>
        </w:rPr>
        <w:t>订购服务包以及服务项</w:t>
      </w:r>
    </w:p>
    <w:p w14:paraId="103A292B">
      <w:pPr>
        <w:pStyle w:val="3"/>
      </w:pPr>
      <w:r>
        <w:rPr>
          <w:rFonts w:hint="eastAsia" w:asciiTheme="minorEastAsia" w:hAnsiTheme="minorEastAsia" w:eastAsiaTheme="minorEastAsia"/>
        </w:rPr>
        <w:t>具备支持以下功能：</w:t>
      </w:r>
    </w:p>
    <w:p w14:paraId="6EE87BB5">
      <w:pPr>
        <w:pStyle w:val="195"/>
        <w:spacing w:before="163" w:after="163"/>
      </w:pPr>
      <w:r>
        <w:rPr>
          <w:rFonts w:hint="eastAsia"/>
        </w:rPr>
        <w:t>在签约过程中，居民可以根据自身健康状况和需求，挑选并订购合适的服务包或服务项。</w:t>
      </w:r>
    </w:p>
    <w:p w14:paraId="6E047B6D">
      <w:pPr>
        <w:pStyle w:val="7"/>
        <w:numPr>
          <w:ilvl w:val="4"/>
          <w:numId w:val="16"/>
        </w:numPr>
        <w:rPr>
          <w:szCs w:val="24"/>
        </w:rPr>
      </w:pPr>
      <w:r>
        <w:rPr>
          <w:rFonts w:hint="eastAsia"/>
          <w:szCs w:val="24"/>
        </w:rPr>
        <w:t>慢病续约</w:t>
      </w:r>
    </w:p>
    <w:p w14:paraId="679FAFF8">
      <w:pPr>
        <w:pStyle w:val="195"/>
        <w:spacing w:before="163" w:after="163"/>
      </w:pPr>
      <w:r>
        <w:rPr>
          <w:rFonts w:hint="eastAsia"/>
        </w:rPr>
        <w:t>签约的服务包续约：服务包到期后可以进行续约</w:t>
      </w:r>
    </w:p>
    <w:p w14:paraId="1C0786BF">
      <w:pPr>
        <w:pStyle w:val="7"/>
        <w:numPr>
          <w:ilvl w:val="4"/>
          <w:numId w:val="16"/>
        </w:numPr>
        <w:rPr>
          <w:szCs w:val="24"/>
        </w:rPr>
      </w:pPr>
      <w:r>
        <w:rPr>
          <w:rFonts w:hint="eastAsia"/>
          <w:szCs w:val="24"/>
        </w:rPr>
        <w:t>慢病签约记录</w:t>
      </w:r>
    </w:p>
    <w:p w14:paraId="169B7946">
      <w:pPr>
        <w:pStyle w:val="195"/>
        <w:spacing w:before="163" w:after="163"/>
      </w:pPr>
      <w:r>
        <w:rPr>
          <w:rFonts w:hint="eastAsia"/>
        </w:rPr>
        <w:t>签约记录动态查询</w:t>
      </w:r>
      <w:r>
        <w:t>：</w:t>
      </w:r>
      <w:r>
        <w:rPr>
          <w:rFonts w:hint="eastAsia"/>
        </w:rPr>
        <w:t>动态签约记录查询功能：系统全面记录所有签约活动，提供实时的数据检索服务，确保用户能够随时查阅每一项签约的详细信息和历史状态，以保障签约流程的透明度和数据管理的准确性。</w:t>
      </w:r>
    </w:p>
    <w:p w14:paraId="4703E98D">
      <w:pPr>
        <w:pStyle w:val="7"/>
        <w:numPr>
          <w:ilvl w:val="4"/>
          <w:numId w:val="16"/>
        </w:numPr>
        <w:rPr>
          <w:szCs w:val="24"/>
        </w:rPr>
      </w:pPr>
      <w:r>
        <w:rPr>
          <w:rFonts w:hint="eastAsia"/>
          <w:szCs w:val="24"/>
        </w:rPr>
        <w:t>服务待办</w:t>
      </w:r>
    </w:p>
    <w:p w14:paraId="59F4D9DD">
      <w:pPr>
        <w:pStyle w:val="3"/>
      </w:pPr>
      <w:r>
        <w:rPr>
          <w:rFonts w:hint="eastAsia" w:asciiTheme="minorEastAsia" w:hAnsiTheme="minorEastAsia" w:eastAsiaTheme="minorEastAsia"/>
        </w:rPr>
        <w:t>具备支持以下功能：</w:t>
      </w:r>
    </w:p>
    <w:p w14:paraId="6A65EA88">
      <w:pPr>
        <w:pStyle w:val="8"/>
        <w:numPr>
          <w:ilvl w:val="5"/>
          <w:numId w:val="16"/>
        </w:numPr>
      </w:pPr>
      <w:r>
        <w:rPr>
          <w:rFonts w:hint="eastAsia"/>
        </w:rPr>
        <w:t>追踪干预中</w:t>
      </w:r>
    </w:p>
    <w:p w14:paraId="3809AF0C">
      <w:pPr>
        <w:pStyle w:val="195"/>
        <w:spacing w:before="163" w:after="163"/>
      </w:pPr>
      <w:r>
        <w:rPr>
          <w:rFonts w:hint="eastAsia"/>
        </w:rPr>
        <w:t>实现对患者干预过程的全程监控与管理。患者一旦接受干预措施，系统即自动将其状态更新为“追踪干预中”，确保在整个干预周期内对患者进行持续的关注与照护。此功能将持续运作，直至干预流程完满结束，保障了医疗服务的高效性和连续性，进一步提升了患者护理的质量与标准。系统对每位患者的健康旅程进行严谨的追踪与记录，确保医疗服务的连贯性和有效性。</w:t>
      </w:r>
    </w:p>
    <w:p w14:paraId="37115771">
      <w:pPr>
        <w:pStyle w:val="8"/>
        <w:numPr>
          <w:ilvl w:val="5"/>
          <w:numId w:val="16"/>
        </w:numPr>
      </w:pPr>
      <w:r>
        <w:rPr>
          <w:rFonts w:hint="eastAsia"/>
        </w:rPr>
        <w:t>干预操作</w:t>
      </w:r>
    </w:p>
    <w:p w14:paraId="38FD4BDF">
      <w:pPr>
        <w:pStyle w:val="195"/>
        <w:spacing w:before="163" w:after="163"/>
      </w:pPr>
      <w:r>
        <w:rPr>
          <w:rFonts w:hint="eastAsia"/>
        </w:rPr>
        <w:t>系统平台为医生提供了高效实时的干预功能，使得医疗专业人员能够针对预警监测记录进行即刻响应与处理。医生可通过系统即时访问患者的预警信息，从而迅速采取相应的医疗干预措施。此机制的设立，确保了在患者健康状况出现潜在风险时，医生能够第一时间介入，有效提高了医疗服务的响应速度和干预效率，进一步保障了患者的健康安全。</w:t>
      </w:r>
    </w:p>
    <w:p w14:paraId="0D57E2DC">
      <w:pPr>
        <w:pStyle w:val="8"/>
        <w:numPr>
          <w:ilvl w:val="5"/>
          <w:numId w:val="16"/>
        </w:numPr>
      </w:pPr>
      <w:r>
        <w:rPr>
          <w:rFonts w:hint="eastAsia"/>
        </w:rPr>
        <w:t>干预上转</w:t>
      </w:r>
    </w:p>
    <w:p w14:paraId="16A7ABA2">
      <w:pPr>
        <w:pStyle w:val="195"/>
        <w:spacing w:before="163" w:after="163"/>
      </w:pPr>
      <w:r>
        <w:rPr>
          <w:rFonts w:hint="eastAsia"/>
        </w:rPr>
        <w:t>系统内置的“干预上转”机制规定，在村医或卫生院对病例进行三次干预后，若仍未达到预期的治疗效果，可启动上转程序。此时，患者病例将被转诊至上级卫生院或医疗共同体（医共体）总院，由更高级别的医疗团队进行进一步的诊断与干预。此流程旨在确保患者在必要时能够获得更为专业和深入的医疗支持，从而优化整体医疗服务质量和患者治疗结局。</w:t>
      </w:r>
    </w:p>
    <w:p w14:paraId="10C93CFD">
      <w:pPr>
        <w:pStyle w:val="8"/>
        <w:numPr>
          <w:ilvl w:val="5"/>
          <w:numId w:val="16"/>
        </w:numPr>
      </w:pPr>
      <w:r>
        <w:rPr>
          <w:rFonts w:hint="eastAsia"/>
        </w:rPr>
        <w:t>干预下转</w:t>
      </w:r>
    </w:p>
    <w:p w14:paraId="270CC9D9">
      <w:pPr>
        <w:pStyle w:val="195"/>
        <w:spacing w:before="163" w:after="163"/>
      </w:pPr>
      <w:r>
        <w:rPr>
          <w:rFonts w:hint="eastAsia"/>
        </w:rPr>
        <w:t>系统亦设有“干预下转”功能，以便在卫生院或医疗共同体总院对患者进行有效干预并达到预期治疗效果后，将患者病例适时下转至下级卫生院或村卫生室。此流程允许下一级医疗机构继续对患者进行追踪干预，以维持治疗的连续性和稳定性，同时优化医疗资源分配，确保患者在适宜的医疗层级中获得恰当的照护和支持。</w:t>
      </w:r>
    </w:p>
    <w:p w14:paraId="3D3BBA64">
      <w:pPr>
        <w:pStyle w:val="8"/>
        <w:numPr>
          <w:ilvl w:val="5"/>
          <w:numId w:val="16"/>
        </w:numPr>
      </w:pPr>
      <w:r>
        <w:rPr>
          <w:rFonts w:hint="eastAsia"/>
        </w:rPr>
        <w:t>干预指导</w:t>
      </w:r>
    </w:p>
    <w:p w14:paraId="04096626">
      <w:pPr>
        <w:pStyle w:val="195"/>
        <w:spacing w:before="163" w:after="163"/>
      </w:pPr>
      <w:r>
        <w:rPr>
          <w:rFonts w:hint="eastAsia"/>
        </w:rPr>
        <w:t>干预指导功能：医疗共同体总院或卫生院可依据患者的预警记录，提供专业的干预指导，以辅助村医实施精确且有效的干预措施。此功能旨在通过上级医疗机构的经验和专业知识，提升基层医疗服务的精准度，确保患者得到恰当及时的医疗关怀。</w:t>
      </w:r>
    </w:p>
    <w:p w14:paraId="11CE49A7">
      <w:pPr>
        <w:pStyle w:val="8"/>
        <w:numPr>
          <w:ilvl w:val="5"/>
          <w:numId w:val="16"/>
        </w:numPr>
      </w:pPr>
      <w:r>
        <w:rPr>
          <w:rFonts w:hint="eastAsia"/>
        </w:rPr>
        <w:t>干预次数累计</w:t>
      </w:r>
    </w:p>
    <w:p w14:paraId="111167AB">
      <w:pPr>
        <w:pStyle w:val="195"/>
        <w:spacing w:before="163" w:after="163"/>
      </w:pPr>
      <w:r>
        <w:rPr>
          <w:rFonts w:hint="eastAsia"/>
        </w:rPr>
        <w:t>干预次数累计功能：系统自动记录并累计各级医疗人员在干预过程中的次数。例如，当村医XX医生进行第一次干预，卫生院XX医生进行第二次干预时，系统将分别记录每位医生的干预次数。此功能有助于追踪患者的治疗历程，评估干预效果，并为医疗人员提供工作量统计和绩效评估的数据支持。</w:t>
      </w:r>
    </w:p>
    <w:p w14:paraId="27EB2B16">
      <w:pPr>
        <w:pStyle w:val="8"/>
        <w:numPr>
          <w:ilvl w:val="5"/>
          <w:numId w:val="16"/>
        </w:numPr>
      </w:pPr>
      <w:r>
        <w:rPr>
          <w:rFonts w:hint="eastAsia"/>
        </w:rPr>
        <w:t>干预修改</w:t>
      </w:r>
    </w:p>
    <w:p w14:paraId="6972937B">
      <w:pPr>
        <w:pStyle w:val="195"/>
        <w:spacing w:before="163" w:after="163"/>
      </w:pPr>
      <w:r>
        <w:rPr>
          <w:rFonts w:hint="eastAsia"/>
        </w:rPr>
        <w:t>干预记录修改功能：系统允许医生在必要时对之前的干预记录进行修订。若医生发现先前的干预内容存在不适宜之处，可对相关记录进行修改，以确保患者病历信息的准确性和干预方案的最优化。此功能旨在维护医疗记录的完整性和可靠性，同时促进医疗服务质量的持续提升。</w:t>
      </w:r>
    </w:p>
    <w:p w14:paraId="4A623075">
      <w:pPr>
        <w:pStyle w:val="8"/>
        <w:numPr>
          <w:ilvl w:val="5"/>
          <w:numId w:val="16"/>
        </w:numPr>
      </w:pPr>
      <w:r>
        <w:rPr>
          <w:rFonts w:hint="eastAsia"/>
        </w:rPr>
        <w:t>建议就诊</w:t>
      </w:r>
    </w:p>
    <w:p w14:paraId="71668337">
      <w:pPr>
        <w:pStyle w:val="195"/>
        <w:spacing w:before="163" w:after="163"/>
      </w:pPr>
      <w:r>
        <w:rPr>
          <w:rFonts w:hint="eastAsia"/>
        </w:rPr>
        <w:t>建议就诊指引：在医疗共同体总院对患者实施干预措施后，若患者的检测记录显示病情依然不稳定或处于危急状态，总院有权根据患者的实际情况直接发出建议就诊的指引。此举措旨在确保患者能够得到及时、适当的医疗机构服务，以保障患者的生命安全和健康福祉。医共体总院的专业建议将为患者就诊提供明确的方向，助力患者尽快获得必要的医疗救治。</w:t>
      </w:r>
    </w:p>
    <w:p w14:paraId="1FFFBABE">
      <w:pPr>
        <w:pStyle w:val="8"/>
        <w:numPr>
          <w:ilvl w:val="5"/>
          <w:numId w:val="16"/>
        </w:numPr>
      </w:pPr>
      <w:r>
        <w:rPr>
          <w:rFonts w:hint="eastAsia"/>
        </w:rPr>
        <w:t>结束就诊</w:t>
      </w:r>
    </w:p>
    <w:p w14:paraId="343BE7FD">
      <w:pPr>
        <w:pStyle w:val="195"/>
        <w:spacing w:before="163" w:after="163"/>
      </w:pPr>
      <w:r>
        <w:rPr>
          <w:rFonts w:hint="eastAsia"/>
        </w:rPr>
        <w:t>结束就诊操作：患者完成就诊流程后，负责医生可在系统中执行结束就诊的操作。此时，医生需补充录入相应的医嘱、住院时间、出院时间等关键信息，以确保患者病历的完整性和连续性。此功能便于医疗团队对患者的治疗过程进行总结，并为后续的随访和健康管理提供详尽的数据支持。</w:t>
      </w:r>
    </w:p>
    <w:p w14:paraId="401CEDEC">
      <w:pPr>
        <w:pStyle w:val="8"/>
        <w:numPr>
          <w:ilvl w:val="5"/>
          <w:numId w:val="16"/>
        </w:numPr>
      </w:pPr>
      <w:r>
        <w:rPr>
          <w:rFonts w:hint="eastAsia"/>
        </w:rPr>
        <w:t>一周未测量的居民信息</w:t>
      </w:r>
    </w:p>
    <w:p w14:paraId="7C537AAB">
      <w:pPr>
        <w:pStyle w:val="195"/>
        <w:spacing w:before="163" w:after="163"/>
      </w:pPr>
      <w:r>
        <w:rPr>
          <w:rFonts w:hint="eastAsia"/>
        </w:rPr>
        <w:t>为了解决部分自觉性不高的居民，未及时使用设备进行检测，故推出了此功能，该功能主要展示了一周未检测的居民信息，可以对齐进行短信提醒的，点击【提醒】，采用短信的方式对其进行提醒。也可以查看该医生历次对该居民的提醒情况。</w:t>
      </w:r>
    </w:p>
    <w:p w14:paraId="1D9C4389">
      <w:pPr>
        <w:pStyle w:val="8"/>
        <w:numPr>
          <w:ilvl w:val="5"/>
          <w:numId w:val="16"/>
        </w:numPr>
      </w:pPr>
      <w:r>
        <w:rPr>
          <w:rFonts w:hint="eastAsia"/>
        </w:rPr>
        <w:t>结束干预</w:t>
      </w:r>
    </w:p>
    <w:p w14:paraId="5ED8AF15">
      <w:pPr>
        <w:pStyle w:val="195"/>
        <w:spacing w:before="163" w:after="163"/>
      </w:pPr>
      <w:r>
        <w:rPr>
          <w:rFonts w:hint="eastAsia"/>
        </w:rPr>
        <w:t>终止干预流程：在经过多级医疗人员的连续干预之后，若患者的病情已显著稳定，或如高血压患者从三级血压降至一级血压，并在一段观察期内血压保持稳定，系统将允许医疗人员解除预警状态，并正式结束干预流程。此操作标志着患者已从紧急或高风险状态恢复至相对健康的状态，不再需要持续的特别干预措施。医疗人员将根据患者的具体情况，制定后续的监测和健康管理计划。</w:t>
      </w:r>
    </w:p>
    <w:p w14:paraId="6392903E">
      <w:pPr>
        <w:pStyle w:val="7"/>
        <w:numPr>
          <w:ilvl w:val="4"/>
          <w:numId w:val="16"/>
        </w:numPr>
        <w:rPr>
          <w:szCs w:val="24"/>
        </w:rPr>
      </w:pPr>
      <w:r>
        <w:rPr>
          <w:rFonts w:hint="eastAsia"/>
          <w:szCs w:val="24"/>
        </w:rPr>
        <w:t>预警干预</w:t>
      </w:r>
    </w:p>
    <w:p w14:paraId="253F9E44">
      <w:pPr>
        <w:pStyle w:val="195"/>
        <w:spacing w:before="163" w:after="163"/>
      </w:pPr>
      <w:r>
        <w:rPr>
          <w:rFonts w:hint="eastAsia"/>
        </w:rPr>
        <w:t>预警管理：对于配备可穿戴设备的患者，一旦检测记录达到预警阈值，系统将实时展示预警信息。此时，医生能够迅速响应，对患者的检测记录进行及时干预。该系统提高了对潜在健康风险的监测效率，确保了医生能够在关键时刻介入，为患者提供必要的医疗援助，从而有效预防和控制病情恶化。体重管理数据预警。</w:t>
      </w:r>
    </w:p>
    <w:p w14:paraId="796316D6">
      <w:pPr>
        <w:pStyle w:val="7"/>
        <w:numPr>
          <w:ilvl w:val="4"/>
          <w:numId w:val="16"/>
        </w:numPr>
        <w:rPr>
          <w:szCs w:val="24"/>
        </w:rPr>
      </w:pPr>
      <w:r>
        <w:rPr>
          <w:rFonts w:hint="eastAsia"/>
          <w:szCs w:val="24"/>
        </w:rPr>
        <w:t>随访管理</w:t>
      </w:r>
    </w:p>
    <w:p w14:paraId="7824B5D4">
      <w:pPr>
        <w:pStyle w:val="195"/>
        <w:spacing w:before="163" w:after="163"/>
      </w:pPr>
      <w:r>
        <w:rPr>
          <w:rFonts w:hint="eastAsia"/>
        </w:rPr>
        <w:t>随访列表展示：系统提供了高效的随访列表查询功能，允许医疗工作人员根据患者的姓名、手机号码、身份证号码等关键信息进行精确搜索。此功能旨在简化随访管理流程，提升医疗服务的针对性和效率，确保每一位患者都能得到适当的跟踪与关怀。</w:t>
      </w:r>
    </w:p>
    <w:p w14:paraId="0EAEDBAB">
      <w:pPr>
        <w:pStyle w:val="195"/>
        <w:spacing w:before="163" w:after="163"/>
      </w:pPr>
      <w:r>
        <w:rPr>
          <w:rFonts w:hint="eastAsia"/>
        </w:rPr>
        <w:t>随访操作：医疗工作人员可针对具体居民执行随访操作，包括填写随访内容，如病情跟踪、用药情况、生活习惯等。同时，系统支持一键导入上次随访的详细情况，以便于医疗人员快速了解患者的历次随访记录，确保随访工作的连续性和准确性。此功能有助于提高随访效率，促进患者健康管理的一致性和完整性。</w:t>
      </w:r>
    </w:p>
    <w:p w14:paraId="2602855C">
      <w:pPr>
        <w:pStyle w:val="195"/>
        <w:spacing w:before="163" w:after="163"/>
      </w:pPr>
      <w:r>
        <w:rPr>
          <w:rFonts w:hint="eastAsia"/>
        </w:rPr>
        <w:t>查看指定居民的随访记录：系统允许医疗工作人员按照居民个人身份信息，检索并查看针对该居民开展的所有随访记录。此功能确保了医疗人员能够全面、系统地回顾患者的健康轨迹和治疗效果，为制定个性化治疗方案和健康管理计划提供详实的数据支持。通过这一功能，我们致力于提升医疗服务质量，确保患者得到持续、连贯的关怀与治疗。</w:t>
      </w:r>
    </w:p>
    <w:p w14:paraId="2EB0C008">
      <w:pPr>
        <w:pStyle w:val="195"/>
        <w:spacing w:before="163" w:after="163"/>
      </w:pPr>
      <w:r>
        <w:rPr>
          <w:rFonts w:hint="eastAsia"/>
        </w:rPr>
        <w:t>待随访患者筛选：系统提供了精细化的筛选功能，允许医疗专业人员根据不同的时间周期，如近一周、近半月、近一个月、近两个月等时间段，高效筛选出即将需要进行回访的患者名单。此筛选机制旨在提高医疗随访工作的针对性和时效性，确保每一位患者都能在适当的时间内得到必要的关注和后续医疗服务，从而保障患者健康管理的连续性和完整性。通过这一机制，我们进一步提升了医疗服务的组织效率和质量，体现了对患者全面关怀的服务理念。</w:t>
      </w:r>
    </w:p>
    <w:p w14:paraId="06B556AD">
      <w:pPr>
        <w:pStyle w:val="7"/>
        <w:numPr>
          <w:ilvl w:val="4"/>
          <w:numId w:val="16"/>
        </w:numPr>
        <w:rPr>
          <w:szCs w:val="24"/>
        </w:rPr>
      </w:pPr>
      <w:r>
        <w:rPr>
          <w:rFonts w:hint="eastAsia"/>
          <w:szCs w:val="24"/>
        </w:rPr>
        <w:t>随访记录</w:t>
      </w:r>
    </w:p>
    <w:p w14:paraId="48E3E5AD">
      <w:pPr>
        <w:pStyle w:val="195"/>
        <w:spacing w:before="163" w:after="163"/>
      </w:pPr>
      <w:r>
        <w:rPr>
          <w:rFonts w:hint="eastAsia"/>
        </w:rPr>
        <w:t>随访记录总览功能：系统提供了一个全面的随访记录查看界面，允许医疗工作人员查阅所有居民的随访记录。这一功能旨在为医疗团队提供一个集中的信息平台，以便于管理和分析患者的健康数据。</w:t>
      </w:r>
    </w:p>
    <w:p w14:paraId="50C73CD7">
      <w:pPr>
        <w:pStyle w:val="7"/>
        <w:numPr>
          <w:ilvl w:val="4"/>
          <w:numId w:val="16"/>
        </w:numPr>
        <w:rPr>
          <w:szCs w:val="24"/>
        </w:rPr>
      </w:pPr>
      <w:r>
        <w:rPr>
          <w:rFonts w:hint="eastAsia"/>
          <w:szCs w:val="24"/>
        </w:rPr>
        <w:t>药物治疗指导方案</w:t>
      </w:r>
    </w:p>
    <w:p w14:paraId="581127F3">
      <w:pPr>
        <w:pStyle w:val="195"/>
        <w:spacing w:before="163" w:after="163"/>
      </w:pPr>
      <w:r>
        <w:rPr>
          <w:rFonts w:hint="eastAsia"/>
        </w:rPr>
        <w:t xml:space="preserve">所有居民药物治疗指导情况列表展示：系统提供了一个全面的药物治疗指导情况列表，展示所有居民当前的药物治疗指导方案，可以通过手机号、姓名动态查询 </w:t>
      </w:r>
    </w:p>
    <w:p w14:paraId="560C5041">
      <w:pPr>
        <w:pStyle w:val="7"/>
        <w:numPr>
          <w:ilvl w:val="4"/>
          <w:numId w:val="16"/>
        </w:numPr>
        <w:rPr>
          <w:szCs w:val="24"/>
        </w:rPr>
      </w:pPr>
      <w:r>
        <w:rPr>
          <w:rFonts w:hint="eastAsia"/>
          <w:szCs w:val="24"/>
        </w:rPr>
        <w:t>慢病健康评估</w:t>
      </w:r>
    </w:p>
    <w:p w14:paraId="120E939B">
      <w:pPr>
        <w:pStyle w:val="3"/>
      </w:pPr>
      <w:r>
        <w:rPr>
          <w:rFonts w:hint="eastAsia" w:asciiTheme="minorEastAsia" w:hAnsiTheme="minorEastAsia" w:eastAsiaTheme="minorEastAsia"/>
        </w:rPr>
        <w:t>具备支持以下功能：</w:t>
      </w:r>
    </w:p>
    <w:p w14:paraId="2D2034DC">
      <w:pPr>
        <w:pStyle w:val="8"/>
        <w:numPr>
          <w:ilvl w:val="5"/>
          <w:numId w:val="16"/>
        </w:numPr>
      </w:pPr>
      <w:r>
        <w:rPr>
          <w:rFonts w:hint="eastAsia"/>
        </w:rPr>
        <w:t>慢病患者的判定记录</w:t>
      </w:r>
    </w:p>
    <w:p w14:paraId="3DF4C908">
      <w:pPr>
        <w:pStyle w:val="195"/>
        <w:spacing w:before="163" w:after="163"/>
      </w:pPr>
      <w:r>
        <w:rPr>
          <w:rFonts w:hint="eastAsia"/>
        </w:rPr>
        <w:t>在医疗信息系统中，针对慢病患者的管理，系统特别设计了判定记录展示功能，以便于医疗工作人员在居民列表中查看和管理慢病患者的相关信息。以下是该功能的详细说明：</w:t>
      </w:r>
    </w:p>
    <w:p w14:paraId="10FF250E">
      <w:pPr>
        <w:pStyle w:val="195"/>
        <w:spacing w:before="163" w:after="163"/>
      </w:pPr>
      <w:r>
        <w:rPr>
          <w:rFonts w:hint="eastAsia"/>
        </w:rPr>
        <w:t>居民列表集成：在居民列表中，系统为每位居民提供了判定记录的快速查看入口。</w:t>
      </w:r>
    </w:p>
    <w:p w14:paraId="0D70DC4C">
      <w:pPr>
        <w:pStyle w:val="195"/>
        <w:spacing w:before="163" w:after="163"/>
      </w:pPr>
      <w:r>
        <w:rPr>
          <w:rFonts w:hint="eastAsia"/>
        </w:rPr>
        <w:t>判定结果展示：点击特定居民，可以查看其慢病判定记录，包括但不限于以下内容：</w:t>
      </w:r>
    </w:p>
    <w:p w14:paraId="1DA79D4B">
      <w:pPr>
        <w:pStyle w:val="195"/>
        <w:spacing w:before="163" w:after="163"/>
      </w:pPr>
      <w:r>
        <w:rPr>
          <w:rFonts w:hint="eastAsia"/>
        </w:rPr>
        <w:t>高血压分级：显示患者的高血压等级（如1级、2级、3级）。</w:t>
      </w:r>
    </w:p>
    <w:p w14:paraId="64F7144D">
      <w:pPr>
        <w:pStyle w:val="195"/>
        <w:spacing w:before="163" w:after="163"/>
      </w:pPr>
      <w:r>
        <w:rPr>
          <w:rFonts w:hint="eastAsia"/>
        </w:rPr>
        <w:t>危险因素：列出与高血压相关的危险因素，如肥胖、吸烟、家族史等。</w:t>
      </w:r>
    </w:p>
    <w:p w14:paraId="2EA6A9FB">
      <w:pPr>
        <w:pStyle w:val="195"/>
        <w:spacing w:before="163" w:after="163"/>
      </w:pPr>
      <w:r>
        <w:rPr>
          <w:rFonts w:hint="eastAsia"/>
        </w:rPr>
        <w:t>高血糖类型：区分1型糖尿病、2型糖尿病或其他特殊类型的高血糖状况。</w:t>
      </w:r>
    </w:p>
    <w:p w14:paraId="3C65DF06">
      <w:pPr>
        <w:pStyle w:val="195"/>
        <w:spacing w:before="163" w:after="163"/>
      </w:pPr>
      <w:r>
        <w:rPr>
          <w:rFonts w:hint="eastAsia"/>
        </w:rPr>
        <w:t>高血脂危险因素：展示患者的高血脂相关危险因素，如高胆固醇、高甘油三酯等。</w:t>
      </w:r>
    </w:p>
    <w:p w14:paraId="28C92CAE">
      <w:pPr>
        <w:pStyle w:val="195"/>
        <w:spacing w:before="163" w:after="163"/>
      </w:pPr>
      <w:r>
        <w:rPr>
          <w:rFonts w:hint="eastAsia"/>
        </w:rPr>
        <w:t>详细信息：对于每个判定结果，系统提供详细的评估信息和数据支持，如血压读数、血糖水平、血脂指标等。</w:t>
      </w:r>
    </w:p>
    <w:p w14:paraId="01CC37FB">
      <w:pPr>
        <w:pStyle w:val="8"/>
        <w:numPr>
          <w:ilvl w:val="5"/>
          <w:numId w:val="16"/>
        </w:numPr>
      </w:pPr>
      <w:r>
        <w:rPr>
          <w:rFonts w:hint="eastAsia"/>
        </w:rPr>
        <w:t>血压检测记录</w:t>
      </w:r>
    </w:p>
    <w:p w14:paraId="57BA5A7B">
      <w:pPr>
        <w:pStyle w:val="195"/>
        <w:spacing w:before="163" w:after="163"/>
      </w:pPr>
      <w:r>
        <w:rPr>
          <w:rFonts w:hint="eastAsia"/>
        </w:rPr>
        <w:t>系统为医疗工作人员提供了一个全面的血压检测记录列表，用于管理和监控所有居民的血压情况。搜索筛选：允许根据姓名、手机号、是否干预等条件进行筛选，以便快速找到特定居民的血压记录。</w:t>
      </w:r>
    </w:p>
    <w:p w14:paraId="71D96987">
      <w:pPr>
        <w:pStyle w:val="8"/>
        <w:numPr>
          <w:ilvl w:val="5"/>
          <w:numId w:val="16"/>
        </w:numPr>
      </w:pPr>
      <w:r>
        <w:rPr>
          <w:rFonts w:hint="eastAsia"/>
        </w:rPr>
        <w:t>体脂检测记录</w:t>
      </w:r>
    </w:p>
    <w:p w14:paraId="52884B52">
      <w:pPr>
        <w:pStyle w:val="195"/>
        <w:spacing w:before="163" w:after="163"/>
      </w:pPr>
      <w:r>
        <w:rPr>
          <w:rFonts w:hint="eastAsia"/>
        </w:rPr>
        <w:t>体脂检测记录管理功能实现了对所有居民体脂检测数据的集中列表展示，医疗工作人员可通过姓名、手机号进行快速检索，同时可依据是否干预及干预内容等条件进行高级筛选，以便精准追踪和管理居民的体脂状况，及时调整健康干预计划。</w:t>
      </w:r>
    </w:p>
    <w:p w14:paraId="2B915458">
      <w:pPr>
        <w:pStyle w:val="8"/>
        <w:numPr>
          <w:ilvl w:val="5"/>
          <w:numId w:val="16"/>
        </w:numPr>
      </w:pPr>
      <w:r>
        <w:rPr>
          <w:rFonts w:hint="eastAsia"/>
        </w:rPr>
        <w:t>血糖检测记录</w:t>
      </w:r>
    </w:p>
    <w:p w14:paraId="32208C32">
      <w:pPr>
        <w:pStyle w:val="195"/>
        <w:spacing w:before="163" w:after="163"/>
      </w:pPr>
      <w:r>
        <w:rPr>
          <w:rFonts w:hint="eastAsia"/>
        </w:rPr>
        <w:t>血糖检测记录管理功能提供了详尽的所有居民血糖检测数据列表，医疗工作人员能够根据姓名、手机号进行搜索，并通过是否干预、干预内容等筛选条件来细化查询结果，以便有效地监控和分析居民的血糖水平，实施针对性的健康管理措施。</w:t>
      </w:r>
    </w:p>
    <w:p w14:paraId="57DD6980">
      <w:pPr>
        <w:pStyle w:val="8"/>
        <w:numPr>
          <w:ilvl w:val="5"/>
          <w:numId w:val="16"/>
        </w:numPr>
      </w:pPr>
      <w:r>
        <w:rPr>
          <w:rFonts w:hint="eastAsia"/>
        </w:rPr>
        <w:t>血脂检测记录</w:t>
      </w:r>
    </w:p>
    <w:p w14:paraId="06EF560E">
      <w:pPr>
        <w:pStyle w:val="195"/>
        <w:spacing w:before="163" w:after="163"/>
      </w:pPr>
      <w:r>
        <w:rPr>
          <w:rFonts w:hint="eastAsia"/>
        </w:rPr>
        <w:t>血脂检测记录管理功能集成了所有居民的血脂检测数据列表，医疗工作人员可通过输入姓名、手机号进行查找，并利用是否干预、干预内容等筛选条件来精确匹配和管理居民的血脂检测记录，从而确保能够及时响应血脂异常情况，制定或调整相应的治疗和干预策略。</w:t>
      </w:r>
    </w:p>
    <w:p w14:paraId="4EB3ED71">
      <w:pPr>
        <w:pStyle w:val="7"/>
        <w:numPr>
          <w:ilvl w:val="4"/>
          <w:numId w:val="16"/>
        </w:numPr>
      </w:pPr>
      <w:r>
        <w:rPr>
          <w:rFonts w:hint="eastAsia"/>
        </w:rPr>
        <w:t>慢病双向转诊</w:t>
      </w:r>
    </w:p>
    <w:p w14:paraId="234E8FA9">
      <w:pPr>
        <w:pStyle w:val="3"/>
      </w:pPr>
      <w:r>
        <w:rPr>
          <w:rFonts w:hint="eastAsia" w:asciiTheme="minorEastAsia" w:hAnsiTheme="minorEastAsia" w:eastAsiaTheme="minorEastAsia"/>
        </w:rPr>
        <w:t>具备支持以下功能：</w:t>
      </w:r>
    </w:p>
    <w:p w14:paraId="7B24CE16">
      <w:pPr>
        <w:pStyle w:val="8"/>
        <w:numPr>
          <w:ilvl w:val="5"/>
          <w:numId w:val="16"/>
        </w:numPr>
      </w:pPr>
      <w:r>
        <w:rPr>
          <w:rFonts w:hint="eastAsia"/>
        </w:rPr>
        <w:t>待转诊列表</w:t>
      </w:r>
    </w:p>
    <w:p w14:paraId="11FE5127">
      <w:pPr>
        <w:pStyle w:val="195"/>
        <w:spacing w:before="163" w:after="163"/>
      </w:pPr>
      <w:r>
        <w:rPr>
          <w:rFonts w:hint="eastAsia"/>
        </w:rPr>
        <w:t>待转诊列表功能专门用于展示在随访过程中识别出需要转诊治疗的患者名单，列表中包含了患者的基本信息如姓名、年龄、性别、联系方式等，以及转诊的具体原因，如病情复杂需要专家会诊、需要专业设备进行检查或治疗等。这一功能便于医疗工作人员及时处理转诊事宜，确保患者能够得到及时和适当的专业医疗服务。</w:t>
      </w:r>
    </w:p>
    <w:p w14:paraId="4AC44F9A">
      <w:pPr>
        <w:pStyle w:val="8"/>
        <w:numPr>
          <w:ilvl w:val="5"/>
          <w:numId w:val="16"/>
        </w:numPr>
      </w:pPr>
      <w:r>
        <w:rPr>
          <w:rFonts w:hint="eastAsia"/>
        </w:rPr>
        <w:t>待协诊列表</w:t>
      </w:r>
    </w:p>
    <w:p w14:paraId="2A57C862">
      <w:pPr>
        <w:pStyle w:val="195"/>
        <w:spacing w:before="163" w:after="163"/>
      </w:pPr>
      <w:r>
        <w:rPr>
          <w:rFonts w:hint="eastAsia"/>
        </w:rPr>
        <w:t>待协诊列表功能用于展示从其他医院转诊过来的患者信息，这些患者需要接受协诊服务。列表中包含了患者的基本资料、转诊原因、转诊医院的详细信息以及转诊单。医疗工作人员可以通过此列表对接诊患者进行管理，包括确认接诊、查看转诊单内容以了解患者的病史和治疗经过，从而确保患者能够无缝衔接治疗，获得连续性的医疗服务。</w:t>
      </w:r>
    </w:p>
    <w:p w14:paraId="3D8EBF38">
      <w:pPr>
        <w:pStyle w:val="8"/>
        <w:numPr>
          <w:ilvl w:val="5"/>
          <w:numId w:val="16"/>
        </w:numPr>
      </w:pPr>
      <w:r>
        <w:rPr>
          <w:rFonts w:hint="eastAsia"/>
        </w:rPr>
        <w:t>治疗中列表</w:t>
      </w:r>
    </w:p>
    <w:p w14:paraId="2D54D082">
      <w:pPr>
        <w:pStyle w:val="195"/>
        <w:spacing w:before="163" w:after="163"/>
      </w:pPr>
      <w:r>
        <w:rPr>
          <w:rFonts w:hint="eastAsia"/>
        </w:rPr>
        <w:t>治疗中列表功能专注于展示正在接受治疗的转诊患者，医疗工作人员可以通过此列表实时监控患者的治疗进度。列表中不仅包含患者的基本信息和转诊原因，还提供了查看详细转诊单的选项，以便工作人员能够深入了解患者的诊断结果、治疗方案、用药情况以及转诊医院的建议等关键信息。这一功能有助于确保患者在治疗过程中得到适当的关注和护理，同时也便于医疗团队之间的沟通和协作。</w:t>
      </w:r>
    </w:p>
    <w:p w14:paraId="582A132E">
      <w:pPr>
        <w:pStyle w:val="8"/>
        <w:numPr>
          <w:ilvl w:val="5"/>
          <w:numId w:val="16"/>
        </w:numPr>
      </w:pPr>
      <w:r>
        <w:rPr>
          <w:rFonts w:hint="eastAsia"/>
        </w:rPr>
        <w:t>接诊记录列表</w:t>
      </w:r>
    </w:p>
    <w:p w14:paraId="3995F6BA">
      <w:pPr>
        <w:pStyle w:val="195"/>
        <w:spacing w:before="163" w:after="163"/>
      </w:pPr>
      <w:r>
        <w:rPr>
          <w:rFonts w:hint="eastAsia"/>
        </w:rPr>
        <w:t>接诊记录列表功能提供了一个全面的概览，展示了所有具有接诊记录的患者信息。包含以下关键信息：</w:t>
      </w:r>
    </w:p>
    <w:p w14:paraId="3B805824">
      <w:pPr>
        <w:pStyle w:val="195"/>
        <w:spacing w:before="163" w:after="163"/>
      </w:pPr>
      <w:r>
        <w:rPr>
          <w:rFonts w:hint="eastAsia"/>
        </w:rPr>
        <w:t>接诊时间：记录患者接受接诊的具体日期和时间，便于追踪患者的就诊历史和周期。</w:t>
      </w:r>
    </w:p>
    <w:p w14:paraId="1849992D">
      <w:pPr>
        <w:pStyle w:val="195"/>
        <w:spacing w:before="163" w:after="163"/>
      </w:pPr>
      <w:r>
        <w:rPr>
          <w:rFonts w:hint="eastAsia"/>
        </w:rPr>
        <w:t>转诊类型：标识患者是通过哪种类型的转诊来到本院，例如紧急转诊、常规转诊或是专业转诊等。</w:t>
      </w:r>
    </w:p>
    <w:p w14:paraId="458D7BF2">
      <w:pPr>
        <w:pStyle w:val="195"/>
        <w:spacing w:before="163" w:after="163"/>
      </w:pPr>
      <w:r>
        <w:rPr>
          <w:rFonts w:hint="eastAsia"/>
        </w:rPr>
        <w:t>转诊医生：显示发起转诊的医生姓名，有助于了解患者的转诊背景和医生的建议。</w:t>
      </w:r>
    </w:p>
    <w:p w14:paraId="40DBEB55">
      <w:pPr>
        <w:pStyle w:val="195"/>
        <w:spacing w:before="163" w:after="163"/>
      </w:pPr>
      <w:r>
        <w:rPr>
          <w:rFonts w:hint="eastAsia"/>
        </w:rPr>
        <w:t>患者信息：包括患者的姓名、性别、年龄、联系方式等基本信息。</w:t>
      </w:r>
    </w:p>
    <w:p w14:paraId="3FB478B1">
      <w:pPr>
        <w:pStyle w:val="195"/>
        <w:spacing w:before="163" w:after="163"/>
      </w:pPr>
      <w:r>
        <w:rPr>
          <w:rFonts w:hint="eastAsia"/>
        </w:rPr>
        <w:t>病情摘要：简要描述患者的病情或就诊原因，便于快速了解患者状况。</w:t>
      </w:r>
    </w:p>
    <w:p w14:paraId="50E9FE70">
      <w:pPr>
        <w:pStyle w:val="195"/>
        <w:spacing w:before="163" w:after="163"/>
      </w:pPr>
      <w:r>
        <w:rPr>
          <w:rFonts w:hint="eastAsia"/>
        </w:rPr>
        <w:t>接诊医生：记录接诊患者的医生姓名，便于责任追溯和后续治疗的管理。</w:t>
      </w:r>
    </w:p>
    <w:p w14:paraId="6611FEB7">
      <w:pPr>
        <w:pStyle w:val="8"/>
        <w:numPr>
          <w:ilvl w:val="5"/>
          <w:numId w:val="16"/>
        </w:numPr>
      </w:pPr>
      <w:r>
        <w:rPr>
          <w:rFonts w:hint="eastAsia"/>
        </w:rPr>
        <w:t>转诊记录列表</w:t>
      </w:r>
    </w:p>
    <w:p w14:paraId="727B1A7D">
      <w:pPr>
        <w:pStyle w:val="195"/>
        <w:spacing w:before="163" w:after="163"/>
      </w:pPr>
      <w:r>
        <w:rPr>
          <w:rFonts w:hint="eastAsia"/>
        </w:rPr>
        <w:t>转诊记录列表功能集中展示了所有具有转诊记录的患者信息，为医疗工作人员提供了一个全面的转诊管理视图。通过转诊记录列表，医疗工作人员能够有效地追踪患者的转诊路径，确保转诊流程的顺畅和患者治疗的连续性。同时，这一功能也有助于医疗机构对转诊工作进行质量控制和效率评估，促进医疗资源的合理分配和利用。</w:t>
      </w:r>
    </w:p>
    <w:p w14:paraId="77C37C5F">
      <w:pPr>
        <w:pStyle w:val="7"/>
        <w:numPr>
          <w:ilvl w:val="4"/>
          <w:numId w:val="16"/>
        </w:numPr>
      </w:pPr>
      <w:r>
        <w:rPr>
          <w:rFonts w:hint="eastAsia"/>
        </w:rPr>
        <w:t>平台管理</w:t>
      </w:r>
    </w:p>
    <w:p w14:paraId="6065F887">
      <w:pPr>
        <w:pStyle w:val="3"/>
      </w:pPr>
      <w:r>
        <w:rPr>
          <w:rFonts w:hint="eastAsia" w:asciiTheme="minorEastAsia" w:hAnsiTheme="minorEastAsia" w:eastAsiaTheme="minorEastAsia"/>
        </w:rPr>
        <w:t>具备支持以下功能：</w:t>
      </w:r>
    </w:p>
    <w:p w14:paraId="2DF53011">
      <w:pPr>
        <w:pStyle w:val="8"/>
        <w:numPr>
          <w:ilvl w:val="5"/>
          <w:numId w:val="16"/>
        </w:numPr>
      </w:pPr>
      <w:r>
        <w:rPr>
          <w:rFonts w:hint="eastAsia"/>
        </w:rPr>
        <w:t>设备管理列表</w:t>
      </w:r>
    </w:p>
    <w:p w14:paraId="6DF1255B">
      <w:pPr>
        <w:pStyle w:val="195"/>
        <w:spacing w:before="163" w:after="163"/>
      </w:pPr>
      <w:r>
        <w:rPr>
          <w:rFonts w:hint="eastAsia"/>
        </w:rPr>
        <w:t>设备管理列表功能允许平台对患者的设备使用情况进行详细管理，包括对患者进行设备绑定操作，以便于追踪和监控设备的使用情况；同时，也能够执行解绑设备的功能，确保设备的安全回收和再利用。此外，该列表还提供了查看设备绑定信息的服务，其中包括患者姓名、绑定时间、设备型号、使用状态等关键信息，从而帮助医疗工作人员全面掌握设备的使用记录和患者的设备依赖情况。</w:t>
      </w:r>
    </w:p>
    <w:p w14:paraId="04009913">
      <w:pPr>
        <w:pStyle w:val="8"/>
        <w:numPr>
          <w:ilvl w:val="5"/>
          <w:numId w:val="16"/>
        </w:numPr>
      </w:pPr>
      <w:r>
        <w:rPr>
          <w:rFonts w:hint="eastAsia"/>
        </w:rPr>
        <w:t>知识库-药品库管理列表</w:t>
      </w:r>
    </w:p>
    <w:p w14:paraId="3C839BAB">
      <w:pPr>
        <w:pStyle w:val="195"/>
        <w:spacing w:before="163" w:after="163"/>
      </w:pPr>
      <w:r>
        <w:rPr>
          <w:rFonts w:hint="eastAsia"/>
        </w:rPr>
        <w:t>知识库中的药品库管理列表功能支持药品库模板的增加、修改和删除操作，这些模板在药物治疗选择药品时提供便捷的参考，医疗工作人员可以根据实际需求调整药品库内容，确保药物治疗方案的准确性和及时更新，从而提高医疗服务质量和效率。</w:t>
      </w:r>
    </w:p>
    <w:p w14:paraId="59364CD7">
      <w:pPr>
        <w:pStyle w:val="8"/>
        <w:numPr>
          <w:ilvl w:val="5"/>
          <w:numId w:val="16"/>
        </w:numPr>
      </w:pPr>
      <w:r>
        <w:rPr>
          <w:rFonts w:hint="eastAsia"/>
        </w:rPr>
        <w:t>服务包管理列表</w:t>
      </w:r>
    </w:p>
    <w:p w14:paraId="76306206">
      <w:pPr>
        <w:pStyle w:val="195"/>
        <w:spacing w:before="163" w:after="163"/>
      </w:pPr>
      <w:r>
        <w:rPr>
          <w:rFonts w:hint="eastAsia"/>
        </w:rPr>
        <w:t>服务包管理列表提供了一个清晰的界面，用于展示所有服务包的详细信息，包括服务包的状态、简介（服务内容概述）以及价格。医疗工作人员可以在此列表中对服务包进行编辑，以更新服务内容或调整价格，同时也可以执行删除操作，以移除不再提供或不再适合的服务包，确保服务包列表的准确性和时效性。</w:t>
      </w:r>
    </w:p>
    <w:p w14:paraId="07EB5101">
      <w:pPr>
        <w:pStyle w:val="8"/>
        <w:numPr>
          <w:ilvl w:val="5"/>
          <w:numId w:val="16"/>
        </w:numPr>
      </w:pPr>
      <w:r>
        <w:rPr>
          <w:rFonts w:hint="eastAsia"/>
        </w:rPr>
        <w:t>服务项管理列表</w:t>
      </w:r>
    </w:p>
    <w:p w14:paraId="3EB4EACD">
      <w:pPr>
        <w:pStyle w:val="195"/>
        <w:spacing w:before="163" w:after="163"/>
      </w:pPr>
      <w:r>
        <w:rPr>
          <w:rFonts w:hint="eastAsia"/>
        </w:rPr>
        <w:t>服务项管理列表详细展示了各项服务的具体内容、服务类型、服务时长等信息，医疗工作人员可通过此列表对服务项进行全面的编辑和必要的删除操作，以维护服务目录的准确性和完整性，确保患者能够获得最新、最合适的服务选项。</w:t>
      </w:r>
    </w:p>
    <w:p w14:paraId="16841A1E">
      <w:pPr>
        <w:pStyle w:val="8"/>
        <w:numPr>
          <w:ilvl w:val="5"/>
          <w:numId w:val="16"/>
        </w:numPr>
      </w:pPr>
      <w:r>
        <w:rPr>
          <w:rFonts w:hint="eastAsia"/>
        </w:rPr>
        <w:t>生活干预模版</w:t>
      </w:r>
    </w:p>
    <w:p w14:paraId="0C651287">
      <w:pPr>
        <w:pStyle w:val="195"/>
        <w:spacing w:before="163" w:after="163"/>
      </w:pPr>
      <w:r>
        <w:rPr>
          <w:rFonts w:hint="eastAsia"/>
        </w:rPr>
        <w:t>生活干预模板功能，专注于从运动、饮食、饮酒、吸烟、用药等多个生活方面进行模板的编辑与管理。医疗工作人员可以根据患者的具体情况和健康需求，定制或调整这些模板，以确保提供个性化的健康管理建议。通过这种精细化的管理，可以提高患者对健康干预措施的依从性，从而更有效地促进患者健康行为的改变和疾病预防。</w:t>
      </w:r>
    </w:p>
    <w:p w14:paraId="1A4C748F">
      <w:pPr>
        <w:pStyle w:val="195"/>
        <w:spacing w:before="163" w:after="163"/>
      </w:pPr>
    </w:p>
    <w:p w14:paraId="33833162">
      <w:pPr>
        <w:pStyle w:val="8"/>
        <w:numPr>
          <w:ilvl w:val="5"/>
          <w:numId w:val="16"/>
        </w:numPr>
      </w:pPr>
      <w:r>
        <w:rPr>
          <w:rFonts w:hint="eastAsia"/>
        </w:rPr>
        <w:t>健康课堂列表管理</w:t>
      </w:r>
    </w:p>
    <w:p w14:paraId="751F836E">
      <w:pPr>
        <w:pStyle w:val="195"/>
        <w:spacing w:before="163" w:after="163"/>
      </w:pPr>
      <w:r>
        <w:rPr>
          <w:rFonts w:hint="eastAsia"/>
        </w:rPr>
        <w:t>知识库中的健康课堂列表管理功能专门针对小程序端的健康科普内容进行维护：</w:t>
      </w:r>
    </w:p>
    <w:p w14:paraId="5BCA1E76">
      <w:pPr>
        <w:pStyle w:val="195"/>
        <w:spacing w:before="163" w:after="163"/>
      </w:pPr>
      <w:r>
        <w:rPr>
          <w:rFonts w:hint="eastAsia"/>
        </w:rPr>
        <w:t>列表展示：健康课堂列表清晰地展示了所有在小程序上提供的健康科普文章或视频，包括标题、发布日期、作者、分类和浏览量等信息。</w:t>
      </w:r>
    </w:p>
    <w:p w14:paraId="0140F8C2">
      <w:pPr>
        <w:pStyle w:val="195"/>
        <w:spacing w:before="163" w:after="163"/>
      </w:pPr>
      <w:r>
        <w:rPr>
          <w:rFonts w:hint="eastAsia"/>
        </w:rPr>
        <w:t>添加内容：医疗工作人员可以添加新的健康科普文章或视频到列表中，填写必要的信息如标题、内容、关键词、上传封面图片或视频文件等。</w:t>
      </w:r>
    </w:p>
    <w:p w14:paraId="0466C5B0">
      <w:pPr>
        <w:pStyle w:val="195"/>
        <w:spacing w:before="163" w:after="163"/>
      </w:pPr>
      <w:r>
        <w:rPr>
          <w:rFonts w:hint="eastAsia"/>
        </w:rPr>
        <w:t>编辑内容：对于已有的健康科普内容，工作人员可以进行编辑，以更新信息、修正错误或提升内容质量。编辑操作可能包括修改标题、内容、分类、标签等。</w:t>
      </w:r>
    </w:p>
    <w:p w14:paraId="2A8E40D4">
      <w:pPr>
        <w:pStyle w:val="195"/>
        <w:spacing w:before="163" w:after="163"/>
      </w:pPr>
      <w:r>
        <w:rPr>
          <w:rFonts w:hint="eastAsia"/>
        </w:rPr>
        <w:t>删除内容：如果某个科普文章或视频不再适用、过时或需要被替换，工作人员可以将其从列表中删除。</w:t>
      </w:r>
    </w:p>
    <w:p w14:paraId="3BE417AF">
      <w:pPr>
        <w:pStyle w:val="195"/>
        <w:spacing w:before="163" w:after="163"/>
      </w:pPr>
      <w:r>
        <w:rPr>
          <w:rFonts w:hint="eastAsia"/>
        </w:rPr>
        <w:t>分类管理：为了方便用户查找和学习，健康课堂列表支持分类管理，工作人员可以根据内容主题创建新的分类或对现有分类进行编辑和删除。</w:t>
      </w:r>
    </w:p>
    <w:p w14:paraId="5E43923D">
      <w:pPr>
        <w:pStyle w:val="7"/>
        <w:numPr>
          <w:ilvl w:val="4"/>
          <w:numId w:val="16"/>
        </w:numPr>
      </w:pPr>
      <w:r>
        <w:rPr>
          <w:rFonts w:hint="eastAsia"/>
        </w:rPr>
        <w:t>商品类别管理</w:t>
      </w:r>
    </w:p>
    <w:p w14:paraId="702411B4">
      <w:pPr>
        <w:pStyle w:val="3"/>
      </w:pPr>
      <w:r>
        <w:rPr>
          <w:rFonts w:hint="eastAsia" w:asciiTheme="minorEastAsia" w:hAnsiTheme="minorEastAsia" w:eastAsiaTheme="minorEastAsia"/>
        </w:rPr>
        <w:t>具备支持以下功能：</w:t>
      </w:r>
    </w:p>
    <w:p w14:paraId="69AE40A4">
      <w:pPr>
        <w:pStyle w:val="195"/>
        <w:spacing w:before="163" w:after="163"/>
      </w:pPr>
      <w:r>
        <w:rPr>
          <w:rFonts w:hint="eastAsia"/>
        </w:rPr>
        <w:t>商品所属类别管理：商品类别管理功能主要负责对商品所属类别进行展示和维护，包括创建新的商品分类、编辑现有分类、删除不再使用的分类以及调整分类结构，确保商品信息准确归类，便于用户快速检索和系统高效管理。</w:t>
      </w:r>
    </w:p>
    <w:p w14:paraId="434D3691">
      <w:pPr>
        <w:pStyle w:val="7"/>
        <w:numPr>
          <w:ilvl w:val="4"/>
          <w:numId w:val="16"/>
        </w:numPr>
      </w:pPr>
      <w:r>
        <w:rPr>
          <w:rFonts w:hint="eastAsia"/>
        </w:rPr>
        <w:t>商品管理</w:t>
      </w:r>
    </w:p>
    <w:p w14:paraId="57B5891F">
      <w:pPr>
        <w:pStyle w:val="3"/>
      </w:pPr>
      <w:r>
        <w:rPr>
          <w:rFonts w:hint="eastAsia" w:asciiTheme="minorEastAsia" w:hAnsiTheme="minorEastAsia" w:eastAsiaTheme="minorEastAsia"/>
        </w:rPr>
        <w:t>具备支持以下功能：</w:t>
      </w:r>
    </w:p>
    <w:p w14:paraId="53186C82">
      <w:pPr>
        <w:pStyle w:val="195"/>
        <w:spacing w:before="163" w:after="163"/>
      </w:pPr>
      <w:r>
        <w:rPr>
          <w:rFonts w:hint="eastAsia"/>
        </w:rPr>
        <w:t>商品列表展示、增删改操作：商品管理功能涵盖了商品列表的展示以及对商品进行的增加、删除和修改操作。在商品列表中，可以查看商品的详细信息，如名称、类别、价格、库存等。通过增删改功能，管理员可以轻松添加新商品到数据库，更新现有商品的详细信息，或者从列表中移除不再销售的商品，从而确保商品信息的准确性和库存管理的有效性。</w:t>
      </w:r>
    </w:p>
    <w:p w14:paraId="3FFBE48B">
      <w:pPr>
        <w:pStyle w:val="7"/>
        <w:numPr>
          <w:ilvl w:val="4"/>
          <w:numId w:val="16"/>
        </w:numPr>
      </w:pPr>
      <w:r>
        <w:rPr>
          <w:rFonts w:hint="eastAsia"/>
        </w:rPr>
        <w:t>医生管理</w:t>
      </w:r>
    </w:p>
    <w:p w14:paraId="452561FC">
      <w:pPr>
        <w:pStyle w:val="3"/>
      </w:pPr>
      <w:r>
        <w:rPr>
          <w:rFonts w:hint="eastAsia" w:asciiTheme="minorEastAsia" w:hAnsiTheme="minorEastAsia" w:eastAsiaTheme="minorEastAsia"/>
        </w:rPr>
        <w:t>具备支持以下功能：</w:t>
      </w:r>
    </w:p>
    <w:p w14:paraId="05457195">
      <w:pPr>
        <w:pStyle w:val="195"/>
        <w:spacing w:before="163" w:after="163"/>
      </w:pPr>
      <w:r>
        <w:rPr>
          <w:rFonts w:hint="eastAsia"/>
        </w:rPr>
        <w:t>医生列表展示，增删改操作：医生管理功能允许管理员在医生列表中展示所有医生的账号和信息，并进行增加、删除和修改操作。通过此功能，管理员可以添加新医生的账号，录入其个人信息、专业背景、执业资格等资料，同时也能够编辑现有医生的详细信息或删除离职医生的账号，确保医生信息库的准确性和时效性。</w:t>
      </w:r>
    </w:p>
    <w:p w14:paraId="39E6B473">
      <w:pPr>
        <w:pStyle w:val="7"/>
        <w:numPr>
          <w:ilvl w:val="4"/>
          <w:numId w:val="16"/>
        </w:numPr>
      </w:pPr>
      <w:r>
        <w:rPr>
          <w:rFonts w:hint="eastAsia"/>
        </w:rPr>
        <w:t>任务管理</w:t>
      </w:r>
    </w:p>
    <w:p w14:paraId="7309FC10">
      <w:pPr>
        <w:pStyle w:val="3"/>
      </w:pPr>
      <w:r>
        <w:rPr>
          <w:rFonts w:hint="eastAsia" w:asciiTheme="minorEastAsia" w:hAnsiTheme="minorEastAsia" w:eastAsiaTheme="minorEastAsia"/>
        </w:rPr>
        <w:t>具备支持以下功能：</w:t>
      </w:r>
    </w:p>
    <w:p w14:paraId="41C9FA56">
      <w:pPr>
        <w:pStyle w:val="195"/>
        <w:spacing w:before="163" w:after="163"/>
      </w:pPr>
      <w:r>
        <w:rPr>
          <w:rFonts w:hint="eastAsia"/>
        </w:rPr>
        <w:t>增加健康币的任务列表，增删改查操作：任务管理功能提供了一个健康币任务列表，管理员可以在此进行增加、删除、修改和查询操作。这些任务旨在激励用户参与健康管理活动，任务列表按照周期分为年任务、人任务和次任务，以满足不同类型的健康促进需求。年任务通常是一年内需要完成的健康目标，人任务可能是针对个人定制的健康挑战，而次任务则是指每次活动或检查可以获得的健康币奖励。通过这种分类，管理员可以灵活地设计和调整任务，以适应不同用户群体的健康管理计划。</w:t>
      </w:r>
    </w:p>
    <w:p w14:paraId="54B61A8C">
      <w:pPr>
        <w:pStyle w:val="7"/>
        <w:numPr>
          <w:ilvl w:val="4"/>
          <w:numId w:val="16"/>
        </w:numPr>
      </w:pPr>
      <w:r>
        <w:rPr>
          <w:rFonts w:hint="eastAsia"/>
        </w:rPr>
        <w:t>任务类别管理</w:t>
      </w:r>
    </w:p>
    <w:p w14:paraId="5FAAEE61">
      <w:pPr>
        <w:pStyle w:val="3"/>
      </w:pPr>
      <w:r>
        <w:rPr>
          <w:rFonts w:hint="eastAsia" w:asciiTheme="minorEastAsia" w:hAnsiTheme="minorEastAsia" w:eastAsiaTheme="minorEastAsia"/>
        </w:rPr>
        <w:t>具备支持以下功能：</w:t>
      </w:r>
    </w:p>
    <w:p w14:paraId="69D37023">
      <w:pPr>
        <w:pStyle w:val="195"/>
        <w:spacing w:before="163" w:after="163"/>
      </w:pPr>
      <w:r>
        <w:rPr>
          <w:rFonts w:hint="eastAsia"/>
        </w:rPr>
        <w:t>任务所属类别管理：任务类别管理功能主要负责对任务所属的类别进行展示和维护，包括对各类别进行增加、编辑、删除等操作，以保持任务分类的清晰性和系统管理的便捷性。</w:t>
      </w:r>
    </w:p>
    <w:p w14:paraId="0193D362">
      <w:pPr>
        <w:pStyle w:val="7"/>
        <w:numPr>
          <w:ilvl w:val="4"/>
          <w:numId w:val="16"/>
        </w:numPr>
      </w:pPr>
      <w:r>
        <w:rPr>
          <w:rFonts w:hint="eastAsia"/>
        </w:rPr>
        <w:t>健康币操作记录管理</w:t>
      </w:r>
    </w:p>
    <w:p w14:paraId="01BF0BE5">
      <w:pPr>
        <w:pStyle w:val="3"/>
      </w:pPr>
      <w:r>
        <w:rPr>
          <w:rFonts w:hint="eastAsia" w:asciiTheme="minorEastAsia" w:hAnsiTheme="minorEastAsia" w:eastAsiaTheme="minorEastAsia"/>
        </w:rPr>
        <w:t>具备支持以下功能：</w:t>
      </w:r>
    </w:p>
    <w:p w14:paraId="11A4B910">
      <w:pPr>
        <w:pStyle w:val="195"/>
        <w:spacing w:before="163" w:after="163"/>
      </w:pPr>
      <w:r>
        <w:rPr>
          <w:rFonts w:hint="eastAsia"/>
        </w:rPr>
        <w:t>健康币操作记录查询：健康币操作记录管理提供了一个查询功能，用于记录用户每次健康币的增加或减少情况，确保在健康币记录中有详细的明细可供追溯，以便于用户和管理员监控和分析健康币的流动情况。</w:t>
      </w:r>
    </w:p>
    <w:p w14:paraId="454A2EDC">
      <w:pPr>
        <w:pStyle w:val="7"/>
        <w:numPr>
          <w:ilvl w:val="4"/>
          <w:numId w:val="16"/>
        </w:numPr>
      </w:pPr>
      <w:r>
        <w:rPr>
          <w:rFonts w:hint="eastAsia"/>
        </w:rPr>
        <w:t>轮播管理</w:t>
      </w:r>
    </w:p>
    <w:p w14:paraId="046B5068">
      <w:pPr>
        <w:pStyle w:val="3"/>
      </w:pPr>
      <w:r>
        <w:rPr>
          <w:rFonts w:hint="eastAsia" w:asciiTheme="minorEastAsia" w:hAnsiTheme="minorEastAsia" w:eastAsiaTheme="minorEastAsia"/>
        </w:rPr>
        <w:t>具备支持以下功能：</w:t>
      </w:r>
    </w:p>
    <w:p w14:paraId="098F0465">
      <w:pPr>
        <w:pStyle w:val="195"/>
        <w:spacing w:before="163" w:after="163"/>
      </w:pPr>
      <w:r>
        <w:rPr>
          <w:rFonts w:hint="eastAsia"/>
        </w:rPr>
        <w:t>轮播图管理：轮播管理功能，也称为轮播图管理，是针对居民端小程序中商品列表的轮播图片进行管理的后台操作</w:t>
      </w:r>
    </w:p>
    <w:p w14:paraId="74D7635D">
      <w:pPr>
        <w:pStyle w:val="7"/>
        <w:numPr>
          <w:ilvl w:val="4"/>
          <w:numId w:val="16"/>
        </w:numPr>
      </w:pPr>
      <w:r>
        <w:rPr>
          <w:rFonts w:hint="eastAsia"/>
        </w:rPr>
        <w:t>任务申请管理</w:t>
      </w:r>
    </w:p>
    <w:p w14:paraId="159DBEE7">
      <w:pPr>
        <w:pStyle w:val="3"/>
      </w:pPr>
      <w:r>
        <w:rPr>
          <w:rFonts w:hint="eastAsia" w:asciiTheme="minorEastAsia" w:hAnsiTheme="minorEastAsia" w:eastAsiaTheme="minorEastAsia"/>
        </w:rPr>
        <w:t>具备支持以下功能：</w:t>
      </w:r>
    </w:p>
    <w:p w14:paraId="22A87156">
      <w:pPr>
        <w:pStyle w:val="195"/>
        <w:spacing w:before="163" w:after="163"/>
        <w:rPr>
          <w:szCs w:val="24"/>
        </w:rPr>
      </w:pPr>
      <w:r>
        <w:rPr>
          <w:rFonts w:hint="eastAsia"/>
        </w:rPr>
        <w:t>医生可以对申请的任务审核操作：任务申请管理模块是医疗服务平台中的一项功能，它允许医生对申请的任务进行审核操作。</w:t>
      </w:r>
    </w:p>
    <w:bookmarkEnd w:id="378"/>
    <w:p w14:paraId="279E969A">
      <w:pPr>
        <w:pStyle w:val="6"/>
        <w:numPr>
          <w:ilvl w:val="3"/>
          <w:numId w:val="16"/>
        </w:numPr>
      </w:pPr>
      <w:bookmarkStart w:id="388" w:name="_Toc10306"/>
      <w:bookmarkStart w:id="389" w:name="_Toc25800"/>
      <w:bookmarkStart w:id="390" w:name="_Toc12950"/>
      <w:bookmarkStart w:id="391" w:name="_Toc107216600"/>
      <w:bookmarkStart w:id="392" w:name="_Toc107216604"/>
      <w:r>
        <w:rPr>
          <w:rFonts w:hint="eastAsia"/>
        </w:rPr>
        <w:t>居民端小程序</w:t>
      </w:r>
      <w:bookmarkEnd w:id="388"/>
      <w:bookmarkEnd w:id="389"/>
      <w:bookmarkEnd w:id="390"/>
    </w:p>
    <w:p w14:paraId="5E2AE1E8">
      <w:pPr>
        <w:pStyle w:val="3"/>
      </w:pPr>
      <w:r>
        <w:rPr>
          <w:rFonts w:hint="eastAsia" w:asciiTheme="minorEastAsia" w:hAnsiTheme="minorEastAsia" w:eastAsiaTheme="minorEastAsia"/>
        </w:rPr>
        <w:t>具备支持以下功能：</w:t>
      </w:r>
    </w:p>
    <w:p w14:paraId="0529DEF1">
      <w:pPr>
        <w:pStyle w:val="7"/>
        <w:numPr>
          <w:ilvl w:val="4"/>
          <w:numId w:val="16"/>
        </w:numPr>
      </w:pPr>
      <w:bookmarkStart w:id="393" w:name="_Toc5517"/>
      <w:bookmarkStart w:id="394" w:name="_Toc7126"/>
      <w:bookmarkStart w:id="395" w:name="_Toc11505"/>
      <w:bookmarkStart w:id="396" w:name="_Toc29009"/>
      <w:r>
        <w:rPr>
          <w:rFonts w:hint="eastAsia"/>
        </w:rPr>
        <w:t>个人中心</w:t>
      </w:r>
      <w:bookmarkEnd w:id="393"/>
      <w:bookmarkEnd w:id="394"/>
      <w:bookmarkEnd w:id="395"/>
      <w:bookmarkEnd w:id="396"/>
    </w:p>
    <w:p w14:paraId="2E12E31F">
      <w:pPr>
        <w:ind w:firstLine="420"/>
        <w:rPr>
          <w:szCs w:val="24"/>
        </w:rPr>
      </w:pPr>
      <w:r>
        <w:rPr>
          <w:rFonts w:hint="eastAsia"/>
          <w:szCs w:val="24"/>
        </w:rPr>
        <w:t>个人中心信息维护</w:t>
      </w:r>
      <w:r>
        <w:rPr>
          <w:szCs w:val="24"/>
        </w:rPr>
        <w:t>：</w:t>
      </w:r>
      <w:r>
        <w:rPr>
          <w:rFonts w:hint="eastAsia"/>
          <w:szCs w:val="24"/>
        </w:rPr>
        <w:t>系统提供的个人中心信息维护功能，旨在为用户打造一个全面且个性化的资料管理平台。该功能允许用户细致地完善个人资料，包括上传个性化的头像、设置独特的昵称、输入真实姓名、选择性别、填写身份证号以保障账户安全，同时还支持用户绑定所属机构信息，从而构建一个完整、可靠的个人档案。通过这一功能，用户能够更好地管理自己的身份信息，提升系统的服务个性化和用户使用体验。</w:t>
      </w:r>
    </w:p>
    <w:p w14:paraId="5218E06C">
      <w:pPr>
        <w:ind w:firstLine="420"/>
        <w:rPr>
          <w:szCs w:val="24"/>
        </w:rPr>
      </w:pPr>
      <w:r>
        <w:rPr>
          <w:rFonts w:hint="eastAsia"/>
          <w:szCs w:val="24"/>
        </w:rPr>
        <w:t>血压、血糖的检测值：系统精心设计的健康监测功能，专注于为用户提供便捷的血压和血糖水平跟踪服务。该功能直观展示用户最近一次的血压和血糖测量值，使得用户能够快速获取关键的健康数据，从而有效地监控自己的健康状况，及时发现异常，为健康管理和疾病预防提供有力支持。通过这一实时更新的健康数据展示，系统旨在鼓励用户更加关注自身健康，促进健康生活方式的养成。</w:t>
      </w:r>
    </w:p>
    <w:p w14:paraId="630C91A4">
      <w:pPr>
        <w:ind w:firstLine="420"/>
        <w:rPr>
          <w:szCs w:val="24"/>
        </w:rPr>
      </w:pPr>
      <w:r>
        <w:rPr>
          <w:rFonts w:hint="eastAsia"/>
          <w:szCs w:val="24"/>
        </w:rPr>
        <w:t>健康币累加记录</w:t>
      </w:r>
      <w:r>
        <w:rPr>
          <w:szCs w:val="24"/>
        </w:rPr>
        <w:t>：</w:t>
      </w:r>
      <w:r>
        <w:rPr>
          <w:rFonts w:hint="eastAsia"/>
          <w:szCs w:val="24"/>
        </w:rPr>
        <w:t>每次健康币增加的记录列表</w:t>
      </w:r>
    </w:p>
    <w:p w14:paraId="127798BE">
      <w:pPr>
        <w:ind w:firstLine="420"/>
        <w:rPr>
          <w:szCs w:val="24"/>
        </w:rPr>
      </w:pPr>
      <w:r>
        <w:rPr>
          <w:rFonts w:hint="eastAsia"/>
          <w:szCs w:val="24"/>
        </w:rPr>
        <w:t>健康币减少记录：每次健康币减少的记录列表</w:t>
      </w:r>
    </w:p>
    <w:p w14:paraId="1FF0E078">
      <w:pPr>
        <w:pStyle w:val="7"/>
        <w:numPr>
          <w:ilvl w:val="4"/>
          <w:numId w:val="16"/>
        </w:numPr>
      </w:pPr>
      <w:r>
        <w:rPr>
          <w:rFonts w:hint="eastAsia"/>
        </w:rPr>
        <w:t>健康检测</w:t>
      </w:r>
    </w:p>
    <w:p w14:paraId="5286607C">
      <w:pPr>
        <w:ind w:firstLine="420"/>
        <w:rPr>
          <w:szCs w:val="24"/>
        </w:rPr>
      </w:pPr>
      <w:r>
        <w:rPr>
          <w:rFonts w:hint="eastAsia"/>
          <w:szCs w:val="24"/>
        </w:rPr>
        <w:t>血压检测趋势图、详情、统计：血压检测的值可以直接从设备上推送，也可以居民手动输入，趋势图为最近七次的测量值；详情和统计可以按照具体的时间段，年，月以及危险等级多维度统计</w:t>
      </w:r>
    </w:p>
    <w:p w14:paraId="52D35DE4">
      <w:pPr>
        <w:ind w:firstLine="420"/>
        <w:rPr>
          <w:szCs w:val="24"/>
        </w:rPr>
      </w:pPr>
      <w:r>
        <w:rPr>
          <w:rFonts w:hint="eastAsia"/>
          <w:szCs w:val="24"/>
        </w:rPr>
        <w:t>血糖检测趋势图、详情、统计：血糖检测的值可以直接从设备上推送，也可以居民手动输入，趋势图为最近七次的测量值；详情和统计可以按照具体的时间段，年，月以及危险等级多维度统计</w:t>
      </w:r>
    </w:p>
    <w:p w14:paraId="45477E4F">
      <w:pPr>
        <w:ind w:firstLine="420"/>
        <w:rPr>
          <w:szCs w:val="24"/>
        </w:rPr>
      </w:pPr>
      <w:r>
        <w:rPr>
          <w:rFonts w:hint="eastAsia"/>
          <w:szCs w:val="24"/>
        </w:rPr>
        <w:t>表格统计：根据日期、餐前、餐后、睡前多维度统计</w:t>
      </w:r>
    </w:p>
    <w:p w14:paraId="0FE9311C">
      <w:pPr>
        <w:ind w:firstLine="420"/>
        <w:rPr>
          <w:szCs w:val="24"/>
        </w:rPr>
      </w:pPr>
      <w:r>
        <w:rPr>
          <w:rFonts w:hint="eastAsia"/>
          <w:szCs w:val="24"/>
        </w:rPr>
        <w:t>血脂检测趋势图、详情、统计：血脂检测的值可以直接从设备上推送，也可以居民手动输入，趋势图为最近七次的测量值；血脂主要包括总胆固醇、甘油三酯、低密度脂蛋白胆固醇以及高密度脂蛋白胆固醇的检测值</w:t>
      </w:r>
    </w:p>
    <w:p w14:paraId="3C55BFF1">
      <w:pPr>
        <w:ind w:firstLine="420"/>
        <w:rPr>
          <w:szCs w:val="24"/>
        </w:rPr>
      </w:pPr>
      <w:r>
        <w:rPr>
          <w:rFonts w:hint="eastAsia"/>
          <w:szCs w:val="24"/>
        </w:rPr>
        <w:t>体脂检测趋势图、详情、统计：体脂记录包括：体重、bmi以及体脂评价</w:t>
      </w:r>
    </w:p>
    <w:p w14:paraId="66F30550">
      <w:pPr>
        <w:pStyle w:val="7"/>
        <w:numPr>
          <w:ilvl w:val="4"/>
          <w:numId w:val="16"/>
        </w:numPr>
      </w:pPr>
      <w:r>
        <w:rPr>
          <w:rFonts w:hint="eastAsia"/>
        </w:rPr>
        <w:t>健康指导</w:t>
      </w:r>
    </w:p>
    <w:p w14:paraId="7B037868">
      <w:pPr>
        <w:ind w:firstLine="420"/>
        <w:rPr>
          <w:szCs w:val="24"/>
        </w:rPr>
      </w:pPr>
      <w:r>
        <w:rPr>
          <w:rFonts w:hint="eastAsia"/>
          <w:szCs w:val="24"/>
        </w:rPr>
        <w:t>平台医生对居民的健康指导推送：包括了营养、运动、戒烟、戒酒、睡眠、心理、用药指导、教育处方的健康指导</w:t>
      </w:r>
    </w:p>
    <w:p w14:paraId="051DE9FB">
      <w:pPr>
        <w:pStyle w:val="7"/>
        <w:numPr>
          <w:ilvl w:val="4"/>
          <w:numId w:val="16"/>
        </w:numPr>
      </w:pPr>
      <w:r>
        <w:rPr>
          <w:rFonts w:hint="eastAsia"/>
        </w:rPr>
        <w:t>健康课堂</w:t>
      </w:r>
    </w:p>
    <w:p w14:paraId="55CAF15E">
      <w:pPr>
        <w:ind w:firstLine="420"/>
        <w:rPr>
          <w:szCs w:val="24"/>
        </w:rPr>
      </w:pPr>
      <w:r>
        <w:rPr>
          <w:rFonts w:hint="eastAsia"/>
          <w:szCs w:val="24"/>
        </w:rPr>
        <w:t>健康课堂列表管理：平台推送的健康课堂列表均在此处显示，可以按照分类进行筛选</w:t>
      </w:r>
    </w:p>
    <w:p w14:paraId="5FCEF5B9">
      <w:pPr>
        <w:pStyle w:val="7"/>
        <w:numPr>
          <w:ilvl w:val="4"/>
          <w:numId w:val="16"/>
        </w:numPr>
      </w:pPr>
      <w:r>
        <w:rPr>
          <w:rFonts w:hint="eastAsia"/>
        </w:rPr>
        <w:t>健康咨询</w:t>
      </w:r>
    </w:p>
    <w:p w14:paraId="363EE524">
      <w:pPr>
        <w:ind w:firstLine="420"/>
        <w:rPr>
          <w:szCs w:val="24"/>
        </w:rPr>
      </w:pPr>
      <w:r>
        <w:rPr>
          <w:rFonts w:hint="eastAsia"/>
          <w:szCs w:val="24"/>
        </w:rPr>
        <w:t>患者和平台医生实时沟通交互：患者有疑问可以直接发送消息给平台医生，平台医生对其答疑解惑</w:t>
      </w:r>
    </w:p>
    <w:p w14:paraId="192C1DB5">
      <w:pPr>
        <w:pStyle w:val="7"/>
        <w:numPr>
          <w:ilvl w:val="4"/>
          <w:numId w:val="16"/>
        </w:numPr>
      </w:pPr>
      <w:r>
        <w:rPr>
          <w:rFonts w:hint="eastAsia"/>
        </w:rPr>
        <w:t>商品列表</w:t>
      </w:r>
    </w:p>
    <w:p w14:paraId="2DF378A6">
      <w:pPr>
        <w:ind w:firstLine="420"/>
        <w:rPr>
          <w:szCs w:val="24"/>
        </w:rPr>
      </w:pPr>
      <w:r>
        <w:rPr>
          <w:rFonts w:hint="eastAsia"/>
          <w:szCs w:val="24"/>
        </w:rPr>
        <w:t>后台维护可兑换的商品：商品包含所需健康币、商品名称、商品详情、库存等【按照分类查询】</w:t>
      </w:r>
    </w:p>
    <w:p w14:paraId="31DD1E1A">
      <w:pPr>
        <w:pStyle w:val="7"/>
        <w:numPr>
          <w:ilvl w:val="4"/>
          <w:numId w:val="16"/>
        </w:numPr>
      </w:pPr>
      <w:r>
        <w:rPr>
          <w:rFonts w:hint="eastAsia"/>
        </w:rPr>
        <w:t>商品轮播图</w:t>
      </w:r>
    </w:p>
    <w:p w14:paraId="7F505FF4">
      <w:pPr>
        <w:ind w:firstLine="420"/>
        <w:rPr>
          <w:szCs w:val="24"/>
        </w:rPr>
      </w:pPr>
      <w:r>
        <w:rPr>
          <w:rFonts w:hint="eastAsia"/>
          <w:szCs w:val="24"/>
        </w:rPr>
        <w:t>商品轮播大图展示：为了突出新品商品，特地添加商品轮播的模块，居民可以从轮播图中直观的看到新品和爆品商品</w:t>
      </w:r>
    </w:p>
    <w:p w14:paraId="2C649634">
      <w:pPr>
        <w:pStyle w:val="7"/>
        <w:numPr>
          <w:ilvl w:val="4"/>
          <w:numId w:val="16"/>
        </w:numPr>
      </w:pPr>
      <w:r>
        <w:rPr>
          <w:rFonts w:hint="eastAsia"/>
        </w:rPr>
        <w:t>商品详情</w:t>
      </w:r>
    </w:p>
    <w:p w14:paraId="3FB03196">
      <w:pPr>
        <w:ind w:firstLine="420"/>
        <w:rPr>
          <w:szCs w:val="24"/>
        </w:rPr>
      </w:pPr>
      <w:r>
        <w:rPr>
          <w:rFonts w:hint="eastAsia"/>
          <w:szCs w:val="24"/>
        </w:rPr>
        <w:t>避免部分商品标题说不完整的情况：商品详情，主要更加丰富的介绍了该商品的详细情况</w:t>
      </w:r>
    </w:p>
    <w:p w14:paraId="1C814599">
      <w:pPr>
        <w:pStyle w:val="7"/>
        <w:numPr>
          <w:ilvl w:val="4"/>
          <w:numId w:val="16"/>
        </w:numPr>
      </w:pPr>
      <w:r>
        <w:rPr>
          <w:rFonts w:hint="eastAsia"/>
        </w:rPr>
        <w:t>兑换</w:t>
      </w:r>
    </w:p>
    <w:p w14:paraId="1B4E2CC0">
      <w:pPr>
        <w:ind w:firstLine="420"/>
        <w:rPr>
          <w:szCs w:val="24"/>
        </w:rPr>
      </w:pPr>
      <w:r>
        <w:rPr>
          <w:rFonts w:hint="eastAsia"/>
          <w:szCs w:val="24"/>
        </w:rPr>
        <w:t>居民线上可快捷兑换：居民选择需要兑换的商品后，可以线上兑换，兑换完成后，会有一个兑换码，然后线下找医护人员领取商品【兑换码需要设置有效期】</w:t>
      </w:r>
    </w:p>
    <w:p w14:paraId="19DAD534">
      <w:pPr>
        <w:pStyle w:val="7"/>
        <w:numPr>
          <w:ilvl w:val="4"/>
          <w:numId w:val="16"/>
        </w:numPr>
      </w:pPr>
      <w:r>
        <w:rPr>
          <w:rFonts w:hint="eastAsia"/>
        </w:rPr>
        <w:t>兑换列表</w:t>
      </w:r>
    </w:p>
    <w:p w14:paraId="0D3338EF">
      <w:pPr>
        <w:ind w:firstLine="420"/>
        <w:rPr>
          <w:szCs w:val="24"/>
        </w:rPr>
      </w:pPr>
      <w:r>
        <w:rPr>
          <w:rFonts w:hint="eastAsia"/>
          <w:szCs w:val="24"/>
        </w:rPr>
        <w:t>居民兑换过的商品，会在此处显示：分为未使用和已使用的兑换码，居民可以拿着去医院兑换商品</w:t>
      </w:r>
    </w:p>
    <w:p w14:paraId="15687866">
      <w:pPr>
        <w:pStyle w:val="7"/>
        <w:numPr>
          <w:ilvl w:val="4"/>
          <w:numId w:val="16"/>
        </w:numPr>
      </w:pPr>
      <w:r>
        <w:rPr>
          <w:rFonts w:hint="eastAsia"/>
        </w:rPr>
        <w:t>健康任务</w:t>
      </w:r>
    </w:p>
    <w:p w14:paraId="65F30243">
      <w:pPr>
        <w:ind w:firstLine="420"/>
        <w:rPr>
          <w:szCs w:val="24"/>
        </w:rPr>
      </w:pPr>
      <w:r>
        <w:rPr>
          <w:rFonts w:hint="eastAsia"/>
          <w:szCs w:val="24"/>
        </w:rPr>
        <w:t>任务列表</w:t>
      </w:r>
      <w:r>
        <w:rPr>
          <w:szCs w:val="24"/>
        </w:rPr>
        <w:t>：</w:t>
      </w:r>
      <w:r>
        <w:rPr>
          <w:rFonts w:hint="eastAsia"/>
          <w:szCs w:val="24"/>
        </w:rPr>
        <w:t>任务列表功能，不仅详尽地展示了居民所需完成的所有健康任务，还特地标注了每项任务完成后可获得的健康币数量。这一设计旨在激励居民积极参与健康管理，通过完成任务来积累健康币，从而提升健康意识，同时增加用户与系统间的互动性和趣味性。居民可以通过完成任务列表中的各项挑战，既有助于改善生活习惯，又能获得相应的奖励，实现了健康促进与激励机制的有效结合。</w:t>
      </w:r>
    </w:p>
    <w:p w14:paraId="3974FF27">
      <w:pPr>
        <w:ind w:firstLine="420"/>
        <w:rPr>
          <w:szCs w:val="24"/>
        </w:rPr>
      </w:pPr>
      <w:r>
        <w:rPr>
          <w:rFonts w:hint="eastAsia"/>
          <w:szCs w:val="24"/>
        </w:rPr>
        <w:t>任务进度：任务进度功能，清晰地展示了居民在各项健康任务中的完成情况。该功能通过直观的进度条或百分比，让居民能够快速了解自己在健康任务上的进展，从而更有目标性地规划和调整自己的健康管理计划。这一功能帮助居民保持对健康目标的持续关注，并鼓励他们逐步完成所有任务，以促进健康生活方式的养成。</w:t>
      </w:r>
    </w:p>
    <w:p w14:paraId="64ECAB05">
      <w:pPr>
        <w:ind w:firstLine="420"/>
        <w:rPr>
          <w:szCs w:val="24"/>
        </w:rPr>
      </w:pPr>
      <w:r>
        <w:rPr>
          <w:rFonts w:hint="eastAsia"/>
          <w:szCs w:val="24"/>
        </w:rPr>
        <w:t>申请完成任务：当居民完成了某项任务后，可以点击【去完成】，然后提交申请，待医生申请通过后，累加健康币</w:t>
      </w:r>
    </w:p>
    <w:bookmarkEnd w:id="391"/>
    <w:bookmarkEnd w:id="392"/>
    <w:p w14:paraId="4BCEE985">
      <w:pPr>
        <w:pStyle w:val="6"/>
        <w:numPr>
          <w:ilvl w:val="3"/>
          <w:numId w:val="16"/>
        </w:numPr>
      </w:pPr>
      <w:bookmarkStart w:id="397" w:name="_Toc3129"/>
      <w:bookmarkStart w:id="398" w:name="_Toc17171"/>
      <w:bookmarkStart w:id="399" w:name="_Toc19361"/>
      <w:r>
        <w:rPr>
          <w:rFonts w:hint="eastAsia"/>
        </w:rPr>
        <w:t>医生端小程序</w:t>
      </w:r>
      <w:bookmarkEnd w:id="397"/>
      <w:bookmarkEnd w:id="398"/>
      <w:bookmarkEnd w:id="399"/>
    </w:p>
    <w:p w14:paraId="3EF20CAD">
      <w:pPr>
        <w:pStyle w:val="3"/>
      </w:pPr>
      <w:r>
        <w:rPr>
          <w:rFonts w:hint="eastAsia" w:asciiTheme="minorEastAsia" w:hAnsiTheme="minorEastAsia" w:eastAsiaTheme="minorEastAsia"/>
        </w:rPr>
        <w:t>具备支持以下功能：</w:t>
      </w:r>
    </w:p>
    <w:p w14:paraId="5704806B">
      <w:pPr>
        <w:pStyle w:val="7"/>
        <w:numPr>
          <w:ilvl w:val="4"/>
          <w:numId w:val="16"/>
        </w:numPr>
      </w:pPr>
      <w:r>
        <w:rPr>
          <w:rFonts w:hint="eastAsia"/>
        </w:rPr>
        <w:t>居民管理</w:t>
      </w:r>
    </w:p>
    <w:p w14:paraId="2662DECE">
      <w:pPr>
        <w:pStyle w:val="106"/>
        <w:ind w:firstLine="480"/>
      </w:pPr>
      <w:r>
        <w:rPr>
          <w:rFonts w:hint="eastAsia"/>
        </w:rPr>
        <w:t>居民列表</w:t>
      </w:r>
      <w:r>
        <w:t>：</w:t>
      </w:r>
      <w:r>
        <w:rPr>
          <w:rFonts w:hint="eastAsia"/>
        </w:rPr>
        <w:t>展示所有平台上的居民信息，包括姓名，身份证号、性别、身高体重、慢病标签</w:t>
      </w:r>
    </w:p>
    <w:p w14:paraId="5746D036">
      <w:pPr>
        <w:pStyle w:val="106"/>
        <w:ind w:firstLine="480"/>
      </w:pPr>
      <w:r>
        <w:rPr>
          <w:rFonts w:hint="eastAsia"/>
        </w:rPr>
        <w:t>健康任务进度：展示每个居民的每个任务进度情况，任务分为每次、每天、每周、每年、每人等</w:t>
      </w:r>
    </w:p>
    <w:p w14:paraId="12EAAB24">
      <w:pPr>
        <w:pStyle w:val="7"/>
        <w:numPr>
          <w:ilvl w:val="4"/>
          <w:numId w:val="16"/>
        </w:numPr>
      </w:pPr>
      <w:r>
        <w:rPr>
          <w:rFonts w:hint="eastAsia"/>
        </w:rPr>
        <w:t>任务完成标记</w:t>
      </w:r>
    </w:p>
    <w:p w14:paraId="36646474">
      <w:pPr>
        <w:pStyle w:val="106"/>
        <w:ind w:firstLine="480"/>
      </w:pPr>
      <w:r>
        <w:rPr>
          <w:rFonts w:hint="eastAsia"/>
        </w:rPr>
        <w:t>完成任务：居民在配合医生完成随访、健康讲座等工作后，医生可以为该居民的任务进行完成标记</w:t>
      </w:r>
    </w:p>
    <w:p w14:paraId="1FB7AC98">
      <w:pPr>
        <w:pStyle w:val="7"/>
        <w:numPr>
          <w:ilvl w:val="4"/>
          <w:numId w:val="16"/>
        </w:numPr>
      </w:pPr>
      <w:r>
        <w:rPr>
          <w:rFonts w:hint="eastAsia"/>
        </w:rPr>
        <w:t>任务进度</w:t>
      </w:r>
    </w:p>
    <w:p w14:paraId="0772A48E">
      <w:pPr>
        <w:pStyle w:val="106"/>
        <w:ind w:firstLine="480"/>
      </w:pPr>
      <w:r>
        <w:rPr>
          <w:rFonts w:hint="eastAsia"/>
        </w:rPr>
        <w:t>居民的每个任务均有进度标记：如果任务类型为每人，则用户完成后标记为已完成。如果是每年需要完成4次的，则会展示当前已经完成了多少次</w:t>
      </w:r>
    </w:p>
    <w:p w14:paraId="22771CEA">
      <w:pPr>
        <w:pStyle w:val="7"/>
        <w:numPr>
          <w:ilvl w:val="4"/>
          <w:numId w:val="16"/>
        </w:numPr>
      </w:pPr>
      <w:r>
        <w:rPr>
          <w:rFonts w:hint="eastAsia"/>
        </w:rPr>
        <w:t>任务审核-通过</w:t>
      </w:r>
    </w:p>
    <w:p w14:paraId="208619A1">
      <w:pPr>
        <w:pStyle w:val="106"/>
        <w:ind w:firstLine="480"/>
      </w:pPr>
      <w:r>
        <w:rPr>
          <w:rFonts w:hint="eastAsia"/>
        </w:rPr>
        <w:t>为了方式居民作假，加入了任务审核模块：医生可以点击每个该居民任务后面的操作，通过则会给居民增加健康币</w:t>
      </w:r>
    </w:p>
    <w:p w14:paraId="2628B48B">
      <w:pPr>
        <w:pStyle w:val="7"/>
        <w:numPr>
          <w:ilvl w:val="4"/>
          <w:numId w:val="16"/>
        </w:numPr>
      </w:pPr>
      <w:r>
        <w:rPr>
          <w:rFonts w:hint="eastAsia"/>
        </w:rPr>
        <w:t>任务审核-拒绝</w:t>
      </w:r>
    </w:p>
    <w:p w14:paraId="1EE4F4E7">
      <w:pPr>
        <w:pStyle w:val="106"/>
        <w:ind w:firstLine="480"/>
      </w:pPr>
      <w:r>
        <w:rPr>
          <w:rFonts w:hint="eastAsia"/>
        </w:rPr>
        <w:t>为了方式居民作假，加入了任务审核模块：医生可以点击每个该居民任务后面的操作，拒绝则不会给其增加健康币</w:t>
      </w:r>
    </w:p>
    <w:p w14:paraId="32703EFC">
      <w:pPr>
        <w:pStyle w:val="7"/>
        <w:numPr>
          <w:ilvl w:val="4"/>
          <w:numId w:val="16"/>
        </w:numPr>
      </w:pPr>
      <w:r>
        <w:rPr>
          <w:rFonts w:hint="eastAsia"/>
        </w:rPr>
        <w:t>累加健康币</w:t>
      </w:r>
    </w:p>
    <w:p w14:paraId="2649EAA2">
      <w:pPr>
        <w:pStyle w:val="106"/>
        <w:ind w:firstLine="480"/>
      </w:pPr>
      <w:r>
        <w:rPr>
          <w:rFonts w:hint="eastAsia"/>
        </w:rPr>
        <w:t>居民完配合后，累加健康币成：当医生选择完项目类别和项目后，点击提交，自动累加该居民的健康币（累加规则按照后台维护的加币规则进行累加）</w:t>
      </w:r>
    </w:p>
    <w:p w14:paraId="08F6ABBE">
      <w:pPr>
        <w:pStyle w:val="7"/>
        <w:numPr>
          <w:ilvl w:val="4"/>
          <w:numId w:val="16"/>
        </w:numPr>
      </w:pPr>
      <w:r>
        <w:rPr>
          <w:rFonts w:hint="eastAsia"/>
        </w:rPr>
        <w:t>业务看板</w:t>
      </w:r>
    </w:p>
    <w:p w14:paraId="0C513E64">
      <w:pPr>
        <w:pStyle w:val="106"/>
        <w:ind w:firstLine="480"/>
      </w:pPr>
      <w:r>
        <w:rPr>
          <w:rFonts w:hint="eastAsia"/>
        </w:rPr>
        <w:t>该医生所涉及到的业务统计：业务看板从不同纬度展示了该医生所管理的建档人数、高血压人数、高血糖人数、高血脂人数、药品发放人数、药品发放数量、血压计发放台数、血糖仪发放台数以及预警数</w:t>
      </w:r>
    </w:p>
    <w:p w14:paraId="744CCF67">
      <w:pPr>
        <w:pStyle w:val="7"/>
        <w:numPr>
          <w:ilvl w:val="4"/>
          <w:numId w:val="16"/>
        </w:numPr>
      </w:pPr>
      <w:r>
        <w:rPr>
          <w:rFonts w:hint="eastAsia"/>
        </w:rPr>
        <w:t>居民详情</w:t>
      </w:r>
    </w:p>
    <w:p w14:paraId="625A6AE2">
      <w:pPr>
        <w:pStyle w:val="106"/>
        <w:ind w:firstLine="480"/>
      </w:pPr>
      <w:r>
        <w:rPr>
          <w:rFonts w:hint="eastAsia"/>
        </w:rPr>
        <w:t>完善信息</w:t>
      </w:r>
      <w:r>
        <w:t>：</w:t>
      </w:r>
      <w:r>
        <w:rPr>
          <w:rFonts w:hint="eastAsia"/>
        </w:rPr>
        <w:t>编辑更改居民信息，包括基本信息、身份证号码、手机号、慢病标签、以及紧急联系人等</w:t>
      </w:r>
    </w:p>
    <w:p w14:paraId="3688EF15">
      <w:pPr>
        <w:pStyle w:val="106"/>
        <w:ind w:firstLine="480"/>
      </w:pPr>
      <w:r>
        <w:rPr>
          <w:rFonts w:hint="eastAsia"/>
        </w:rPr>
        <w:t>绑定设备：医生可以在此功能中给所选居民绑定血压计和血糖仪设备</w:t>
      </w:r>
    </w:p>
    <w:p w14:paraId="0222C3F2">
      <w:pPr>
        <w:pStyle w:val="106"/>
        <w:ind w:firstLine="480"/>
      </w:pPr>
      <w:r>
        <w:rPr>
          <w:rFonts w:hint="eastAsia"/>
        </w:rPr>
        <w:t>测量记录新增、修改与删除：小程序端支持对患者的测量结果修改、删除与修改</w:t>
      </w:r>
    </w:p>
    <w:p w14:paraId="0A95B9CE">
      <w:pPr>
        <w:pStyle w:val="106"/>
        <w:ind w:firstLine="480"/>
      </w:pPr>
      <w:r>
        <w:rPr>
          <w:rFonts w:hint="eastAsia"/>
        </w:rPr>
        <w:t>测量记录：系统为医生提供了便捷的测量记录查看功能，使得医生能够通过小程序迅速检索居民的血压、血糖和血脂检测记录。一旦检测数据达到预警标准，系统将及时向医生发出提醒，便于医生快速采取干预措施，确保居民的健康状况得到有效监控和管理。这一功能极大地提高了医生的工作效率，有助于实现精准医疗和预防性健康关怀。</w:t>
      </w:r>
    </w:p>
    <w:p w14:paraId="0A342D58">
      <w:pPr>
        <w:pStyle w:val="106"/>
        <w:ind w:firstLine="480"/>
      </w:pPr>
      <w:r>
        <w:rPr>
          <w:rFonts w:hint="eastAsia"/>
        </w:rPr>
        <w:t>随访记录：系统为医生提供了全面的随访记录管理功能，医生通过小程序端能够轻松查阅指定居民的随访历史，包括随访日期、内容、结果及后续建议等详细信息。同时，医生还可以便捷地在该平台上添加新的随访记录，确保居民的健康状况得到持续跟踪和评估。这一功能有助于医生更好地管理患者的健康状况，提高随访工作的效率和连续性</w:t>
      </w:r>
    </w:p>
    <w:p w14:paraId="4CBE6FAB">
      <w:pPr>
        <w:pStyle w:val="106"/>
        <w:ind w:firstLine="480"/>
      </w:pPr>
      <w:r>
        <w:rPr>
          <w:rFonts w:hint="eastAsia"/>
        </w:rPr>
        <w:t>营养指导：系统进一步增强了医生的服务能力，通过小程序中的营养指导功能，医生能够为指定居民提供个性化的膳食建议。这包括对午餐、晚餐以及水果等食物的精细化指导，如推荐食物种类、分量控制、营养搭配等，旨在帮助居民构建均衡的饮食习惯，改善营养状况，促进健康。此功能使医生能够根据居民的具体健康状况和营养需求，实施有针对性的营养干预，从而提升居民的生活质量和健康水平。</w:t>
      </w:r>
    </w:p>
    <w:p w14:paraId="58DBB3D4">
      <w:pPr>
        <w:pStyle w:val="106"/>
        <w:ind w:firstLine="480"/>
      </w:pPr>
      <w:r>
        <w:rPr>
          <w:rFonts w:hint="eastAsia"/>
        </w:rPr>
        <w:t>运动指导：允许医生在小程序端为指定居民提供专业的运动建议。该功能使医生能够根据居民的具体健康状况、体能水平和运动偏好，量身定制运动计划，包括但不限于如何有效锻炼、选择合适的运动类型、确定适宜的运动强度和频率、以及提供正确的运动姿势和方法。通过这种个性化的运动指导，医生能够帮助居民安全有效地提高身体活动量，增强体质，预防疾病，从而在日常生活中实现更好的健康管理。</w:t>
      </w:r>
    </w:p>
    <w:p w14:paraId="0DBD72CA">
      <w:pPr>
        <w:pStyle w:val="106"/>
        <w:ind w:firstLine="480"/>
      </w:pPr>
      <w:r>
        <w:rPr>
          <w:rFonts w:hint="eastAsia"/>
        </w:rPr>
        <w:t>戒烟指导：戒烟指导功能。在这一模块中，医生可以通过小程序为有吸烟习惯的居民提供专业的戒烟指导服务。这包括但不限于个性化戒烟计划的制定、戒烟方法的推荐、心理支持和行为干预策略，以及跟踪居民戒烟进程和效果。通过这种便捷的在线指导，医生能够帮助居民克服戒烟过程中的困难，逐步减少吸烟频率，直至完全戒烟，从而改善居民的健康状况并提高其生活质量。</w:t>
      </w:r>
    </w:p>
    <w:p w14:paraId="63EE4223">
      <w:pPr>
        <w:pStyle w:val="106"/>
        <w:ind w:firstLine="480"/>
      </w:pPr>
      <w:r>
        <w:rPr>
          <w:rFonts w:hint="eastAsia"/>
        </w:rPr>
        <w:t>限酒指导：系统进一步扩展了健康指导服务，纳入了限酒指导功能，旨在帮助有饮酒习惯的居民实现健康饮酒。通过小程序，医生能够为居民提供专业的限酒建议，包括评估饮酒习惯、制定个性化的限酒计划、提供减少酒精摄入的策略、教育居民关于酒精依赖和健康风险的知识，以及监测和反馈居民的限酒进展。这一功能的设计旨在促进居民养成适度饮酒的习惯，降低因过量饮酒带来的健康风险，从而提升居民的整体健康水平。</w:t>
      </w:r>
    </w:p>
    <w:p w14:paraId="3990600A">
      <w:pPr>
        <w:pStyle w:val="106"/>
        <w:ind w:firstLine="480"/>
      </w:pPr>
      <w:r>
        <w:rPr>
          <w:rFonts w:hint="eastAsia"/>
        </w:rPr>
        <w:t>心理指导：系统提供的心理指导功能，使得医生能够通过小程序为存在心理问题的居民提供及时有效的心理健康支持。该功能允许医生快速响应居民的心理咨询需求，进行初步评估，并提供专业指导，包括情绪管理技巧、压力缓解方法、认知行为策略等。通过这一平台，医生能够帮助居民改善心理状况，增强心理韧性，促进心理健康，从而全面提升居民的生活质量和社会功能。</w:t>
      </w:r>
    </w:p>
    <w:p w14:paraId="0D3E87A9">
      <w:pPr>
        <w:pStyle w:val="106"/>
        <w:ind w:firstLine="480"/>
      </w:pPr>
      <w:r>
        <w:rPr>
          <w:rFonts w:hint="eastAsia"/>
        </w:rPr>
        <w:t>药物治疗方案：的药物治疗方案功能，赋予了医生在小程序中远程管理居民药物治疗的能力。该功能允许医生根据居民的具体病情和药物反应，制定或调整个性化的药物治疗方案，并提供远程药物指导。医生可以通过平台开具电子处方，监控药物使用情况，及时调整用药剂量或种类，同时为居民提供用药提醒和药物知识普及，确保药物治疗的安全性和有效性，从而优化居民的健康管理体验和治疗效果。</w:t>
      </w:r>
    </w:p>
    <w:p w14:paraId="45A3E1E3">
      <w:pPr>
        <w:pStyle w:val="106"/>
        <w:ind w:firstLine="480"/>
      </w:pPr>
      <w:r>
        <w:rPr>
          <w:rFonts w:hint="eastAsia"/>
        </w:rPr>
        <w:t>服药记录：居民被纳入管理后，医生需要先了解该居民之前的服药记录，以供后期的用药指导</w:t>
      </w:r>
    </w:p>
    <w:p w14:paraId="3CBA32FC">
      <w:pPr>
        <w:pStyle w:val="106"/>
        <w:ind w:firstLine="480"/>
      </w:pPr>
      <w:r>
        <w:rPr>
          <w:rFonts w:hint="eastAsia"/>
        </w:rPr>
        <w:t>住院门诊信息：医生可以从小程序端方便快捷的了解该居民在整个县域内的门诊、住院记录</w:t>
      </w:r>
    </w:p>
    <w:p w14:paraId="1CEC97F3">
      <w:pPr>
        <w:pStyle w:val="106"/>
        <w:ind w:firstLine="480"/>
      </w:pPr>
      <w:r>
        <w:rPr>
          <w:rFonts w:hint="eastAsia"/>
        </w:rPr>
        <w:t>药品发放：医生可以从小程序端给居民发放药品，包括药品名称、发放数量、发放时间以及发放依据。</w:t>
      </w:r>
    </w:p>
    <w:p w14:paraId="7708CA43">
      <w:pPr>
        <w:pStyle w:val="106"/>
        <w:ind w:firstLine="480"/>
      </w:pPr>
      <w:r>
        <w:rPr>
          <w:rFonts w:hint="eastAsia"/>
        </w:rPr>
        <w:t>设置预警值：每当纳入一位慢病患者居民，都会默认设置预警值</w:t>
      </w:r>
    </w:p>
    <w:p w14:paraId="049B5D9A">
      <w:pPr>
        <w:pStyle w:val="106"/>
        <w:ind w:firstLine="480"/>
      </w:pPr>
      <w:r>
        <w:rPr>
          <w:rFonts w:hint="eastAsia"/>
        </w:rPr>
        <w:t>口腔问卷：口腔问卷功能，使得医生能够通过小程序端对居民进行全面的健康状况调查。该功能涵盖了详细的口腔健康问题，如牙齿状况、刷牙习惯、口腔疼痛或不适等症状，以及居民的全身健康状况，包括是否存在高血压、高血脂等慢性疾病。通过这种问卷调查，医生能够远程收集关键的健康信息，为居民提供更加精准的口腔健康评估和个性化治疗建议，进而提升居民的生活质量并促进其整体健康水平。</w:t>
      </w:r>
    </w:p>
    <w:p w14:paraId="111CDB99">
      <w:pPr>
        <w:pStyle w:val="5"/>
        <w:numPr>
          <w:ilvl w:val="2"/>
          <w:numId w:val="16"/>
        </w:numPr>
      </w:pPr>
      <w:bookmarkStart w:id="400" w:name="_Toc202539080"/>
      <w:r>
        <w:rPr>
          <w:rFonts w:hint="eastAsia"/>
        </w:rPr>
        <w:t>远程</w:t>
      </w:r>
      <w:bookmarkEnd w:id="379"/>
      <w:r>
        <w:rPr>
          <w:rFonts w:hint="eastAsia"/>
        </w:rPr>
        <w:t>会诊中心</w:t>
      </w:r>
      <w:bookmarkEnd w:id="400"/>
    </w:p>
    <w:p w14:paraId="24C06671">
      <w:pPr>
        <w:pStyle w:val="6"/>
        <w:numPr>
          <w:ilvl w:val="3"/>
          <w:numId w:val="16"/>
        </w:numPr>
      </w:pPr>
      <w:bookmarkStart w:id="401" w:name="_Toc77325904"/>
      <w:bookmarkStart w:id="402" w:name="_Toc104381688"/>
      <w:bookmarkStart w:id="403" w:name="_Toc127968092"/>
      <w:bookmarkStart w:id="404" w:name="_Toc96708294"/>
      <w:r>
        <w:rPr>
          <w:rFonts w:hint="eastAsia"/>
        </w:rPr>
        <w:t>远程临床会诊</w:t>
      </w:r>
      <w:bookmarkEnd w:id="401"/>
      <w:bookmarkEnd w:id="402"/>
      <w:bookmarkEnd w:id="403"/>
      <w:bookmarkEnd w:id="404"/>
    </w:p>
    <w:p w14:paraId="03911EB2">
      <w:pPr>
        <w:pStyle w:val="3"/>
      </w:pPr>
      <w:r>
        <w:rPr>
          <w:rFonts w:hint="eastAsia" w:asciiTheme="minorEastAsia" w:hAnsiTheme="minorEastAsia" w:eastAsiaTheme="minorEastAsia"/>
        </w:rPr>
        <w:t>具备支持以下功能：</w:t>
      </w:r>
    </w:p>
    <w:p w14:paraId="55B7C231">
      <w:pPr>
        <w:pStyle w:val="106"/>
        <w:ind w:firstLine="480"/>
      </w:pPr>
      <w:r>
        <w:rPr>
          <w:rFonts w:hint="eastAsia"/>
        </w:rPr>
        <w:t>远程临床会诊是上级医院专家会同下级医院患者主管医生，通过远程技术手段共同探讨患者病情，进一步完善并制定更具针对的诊疗方案。通过系统实现远程申请、审核、分诊、报告审核、接收与评价、报告下载与打印等业务的高效开展。</w:t>
      </w:r>
    </w:p>
    <w:p w14:paraId="73CA1C6E">
      <w:pPr>
        <w:pStyle w:val="106"/>
        <w:ind w:firstLine="480"/>
      </w:pPr>
      <w:r>
        <w:rPr>
          <w:rFonts w:hint="eastAsia"/>
        </w:rPr>
        <w:t>（一）总体要求</w:t>
      </w:r>
    </w:p>
    <w:p w14:paraId="200538A9">
      <w:pPr>
        <w:pStyle w:val="106"/>
        <w:ind w:firstLine="480"/>
      </w:pPr>
      <w:r>
        <w:t>(1)在远程会诊系统上实现上下级医院之间通过现有的音视频系统进行交互、支持影像文件查看、完整病历数据查看及在线讨论功能，支持医学专家与申请医生的远程互动交流会诊；</w:t>
      </w:r>
    </w:p>
    <w:p w14:paraId="39D4C27F">
      <w:pPr>
        <w:pStyle w:val="106"/>
        <w:ind w:firstLine="480"/>
      </w:pPr>
      <w:r>
        <w:t>(2)远程会诊支持离线会诊模式和在线交互会诊模式；</w:t>
      </w:r>
    </w:p>
    <w:p w14:paraId="5AA1E4F9">
      <w:pPr>
        <w:pStyle w:val="106"/>
        <w:ind w:firstLine="480"/>
      </w:pPr>
      <w:r>
        <w:t>(3)支持会诊时间轴管理的历史会诊显示。</w:t>
      </w:r>
    </w:p>
    <w:p w14:paraId="480C27D9">
      <w:pPr>
        <w:pStyle w:val="106"/>
        <w:ind w:firstLine="480"/>
      </w:pPr>
      <w:r>
        <w:rPr>
          <w:rFonts w:hint="eastAsia"/>
        </w:rPr>
        <w:t>（二）会诊管理</w:t>
      </w:r>
    </w:p>
    <w:p w14:paraId="0E5099CE">
      <w:pPr>
        <w:pStyle w:val="106"/>
        <w:ind w:firstLine="480"/>
      </w:pPr>
      <w:r>
        <w:t>(1)支持会诊申请或会诊接收；</w:t>
      </w:r>
    </w:p>
    <w:p w14:paraId="301B8DD3">
      <w:pPr>
        <w:pStyle w:val="106"/>
        <w:ind w:firstLine="480"/>
      </w:pPr>
      <w:r>
        <w:t>(2)会诊通过待提交、申请、审核、分诊、会诊、报告核对、接收、已完成等几个状态进行管理；</w:t>
      </w:r>
    </w:p>
    <w:p w14:paraId="72552CBD">
      <w:pPr>
        <w:pStyle w:val="106"/>
        <w:ind w:firstLine="480"/>
      </w:pPr>
      <w:r>
        <w:t>(3)提供显示会诊信息、查询会诊信息与进入会诊(在线、离线)等功能；</w:t>
      </w:r>
    </w:p>
    <w:p w14:paraId="7F2AA3AA">
      <w:pPr>
        <w:pStyle w:val="106"/>
        <w:ind w:firstLine="480"/>
      </w:pPr>
      <w:r>
        <w:t>(4)支持可通过患者姓名、申请医生、申请机构、会诊医生、申请时间等条件组合式查询；</w:t>
      </w:r>
    </w:p>
    <w:p w14:paraId="17E73972">
      <w:pPr>
        <w:pStyle w:val="106"/>
        <w:ind w:firstLine="480"/>
      </w:pPr>
      <w:r>
        <w:rPr>
          <w:rFonts w:hint="eastAsia"/>
        </w:rPr>
        <w:t>（三）支持查看会诊报告；</w:t>
      </w:r>
    </w:p>
    <w:p w14:paraId="7964D9FB">
      <w:pPr>
        <w:pStyle w:val="106"/>
        <w:ind w:firstLine="480"/>
      </w:pPr>
      <w:r>
        <w:rPr>
          <w:rFonts w:hint="eastAsia"/>
        </w:rPr>
        <w:t>（四）会诊资料</w:t>
      </w:r>
    </w:p>
    <w:p w14:paraId="27C32A73">
      <w:pPr>
        <w:pStyle w:val="106"/>
        <w:ind w:firstLine="480"/>
      </w:pPr>
      <w:r>
        <w:rPr>
          <w:rFonts w:hint="eastAsia"/>
        </w:rPr>
        <w:t>支持查看会诊的详细内容，如影像、附件等；</w:t>
      </w:r>
    </w:p>
    <w:p w14:paraId="0C27B7F5">
      <w:pPr>
        <w:pStyle w:val="106"/>
        <w:ind w:firstLine="480"/>
      </w:pPr>
      <w:r>
        <w:rPr>
          <w:rFonts w:hint="eastAsia"/>
        </w:rPr>
        <w:t>（五）</w:t>
      </w:r>
      <w:r>
        <w:t>会诊操作</w:t>
      </w:r>
    </w:p>
    <w:p w14:paraId="42175D3A">
      <w:pPr>
        <w:pStyle w:val="106"/>
        <w:ind w:firstLine="480"/>
      </w:pPr>
      <w:r>
        <w:t>(1)支持发起离线会诊；</w:t>
      </w:r>
    </w:p>
    <w:p w14:paraId="50CA6A8E">
      <w:pPr>
        <w:pStyle w:val="106"/>
        <w:ind w:firstLine="480"/>
      </w:pPr>
      <w:r>
        <w:t>(2)支持发起在线会诊；</w:t>
      </w:r>
    </w:p>
    <w:p w14:paraId="2CA0F9A1">
      <w:pPr>
        <w:pStyle w:val="106"/>
        <w:ind w:firstLine="480"/>
      </w:pPr>
      <w:r>
        <w:rPr>
          <w:rFonts w:hint="eastAsia"/>
        </w:rPr>
        <w:t>（六）</w:t>
      </w:r>
      <w:r>
        <w:t>会诊资源管理</w:t>
      </w:r>
    </w:p>
    <w:p w14:paraId="59721D5A">
      <w:pPr>
        <w:pStyle w:val="106"/>
        <w:ind w:firstLine="480"/>
      </w:pPr>
      <w:r>
        <w:rPr>
          <w:rFonts w:hint="eastAsia"/>
        </w:rPr>
        <w:t>对会诊流程信息，数据信息进行记录，存储等管理。</w:t>
      </w:r>
    </w:p>
    <w:p w14:paraId="59003194">
      <w:pPr>
        <w:pStyle w:val="106"/>
        <w:ind w:firstLine="480"/>
      </w:pPr>
      <w:r>
        <w:rPr>
          <w:rFonts w:hint="eastAsia"/>
        </w:rPr>
        <w:t>（七）在线会诊</w:t>
      </w:r>
    </w:p>
    <w:p w14:paraId="7531685D">
      <w:pPr>
        <w:pStyle w:val="106"/>
        <w:ind w:firstLine="480"/>
      </w:pPr>
      <w:r>
        <w:t>(1)支持流畅、清晰的显示申请界面及患者病历信息查看；</w:t>
      </w:r>
    </w:p>
    <w:p w14:paraId="1BCB5FA9">
      <w:pPr>
        <w:pStyle w:val="106"/>
        <w:ind w:firstLine="480"/>
      </w:pPr>
      <w:r>
        <w:t>(2)支持在线查阅患者影像资料；</w:t>
      </w:r>
    </w:p>
    <w:p w14:paraId="34B992FC">
      <w:pPr>
        <w:pStyle w:val="106"/>
        <w:ind w:firstLine="480"/>
      </w:pPr>
      <w:r>
        <w:rPr>
          <w:rFonts w:hint="eastAsia"/>
        </w:rPr>
        <w:t>（八）病历资料查看</w:t>
      </w:r>
    </w:p>
    <w:p w14:paraId="7316CC0F">
      <w:pPr>
        <w:pStyle w:val="106"/>
        <w:ind w:firstLine="480"/>
      </w:pPr>
      <w:r>
        <w:rPr>
          <w:rFonts w:hint="eastAsia"/>
        </w:rPr>
        <w:t>支持查看患者过往历史信息，包括：基本信息、历史检查检验信息、影像资料、病历记录、过敏史等内容，实现信息的充分共享，为医生提供统一方便的调阅入口，查阅患者详细疾病情况。</w:t>
      </w:r>
    </w:p>
    <w:p w14:paraId="1D875DE8">
      <w:pPr>
        <w:pStyle w:val="106"/>
        <w:ind w:firstLine="480"/>
      </w:pPr>
      <w:r>
        <w:rPr>
          <w:rFonts w:hint="eastAsia"/>
        </w:rPr>
        <w:t>（九）会诊报告编辑</w:t>
      </w:r>
    </w:p>
    <w:p w14:paraId="26F621D5">
      <w:pPr>
        <w:pStyle w:val="106"/>
        <w:ind w:firstLine="480"/>
      </w:pPr>
      <w:r>
        <w:rPr>
          <w:rFonts w:hint="eastAsia"/>
        </w:rPr>
        <w:t>会诊专家根据前面会诊之后，就可以得出会诊诊断结果。专家在这个系统中编写并提交会诊报告，以便会诊的请求端查看会诊报告。</w:t>
      </w:r>
    </w:p>
    <w:p w14:paraId="1E3FF67A">
      <w:pPr>
        <w:pStyle w:val="6"/>
        <w:numPr>
          <w:ilvl w:val="3"/>
          <w:numId w:val="16"/>
        </w:numPr>
      </w:pPr>
      <w:bookmarkStart w:id="405" w:name="_Toc96708295"/>
      <w:bookmarkStart w:id="406" w:name="_Toc127968093"/>
      <w:bookmarkStart w:id="407" w:name="_Toc104381689"/>
      <w:r>
        <w:rPr>
          <w:rFonts w:hint="eastAsia"/>
        </w:rPr>
        <w:t>（MDT）多学科远程会诊</w:t>
      </w:r>
      <w:bookmarkEnd w:id="405"/>
      <w:bookmarkEnd w:id="406"/>
      <w:bookmarkEnd w:id="407"/>
    </w:p>
    <w:p w14:paraId="1E7EDA69">
      <w:pPr>
        <w:pStyle w:val="3"/>
      </w:pPr>
      <w:r>
        <w:rPr>
          <w:rFonts w:hint="eastAsia" w:asciiTheme="minorEastAsia" w:hAnsiTheme="minorEastAsia" w:eastAsiaTheme="minorEastAsia"/>
        </w:rPr>
        <w:t>具备支持以下功能：</w:t>
      </w:r>
    </w:p>
    <w:p w14:paraId="7EE8E6B0">
      <w:pPr>
        <w:pStyle w:val="106"/>
        <w:ind w:firstLine="480"/>
      </w:pPr>
      <w:r>
        <w:rPr>
          <w:rFonts w:hint="eastAsia"/>
        </w:rPr>
        <w:t>由多个学科的专家组成的专家组，针对患者进行的临床讨论会，通过信息化手段进行远程会诊，共同查看病人和相关临床资料，提出诊疗意见，制定最佳治疗方案。通过系统实现</w:t>
      </w:r>
      <w:r>
        <w:t>MDT申请单填写、病历材料上传、分诊、会诊、报告填写、接收核对等过程，并具备后续随访、观察等功能。</w:t>
      </w:r>
    </w:p>
    <w:p w14:paraId="5E39684A">
      <w:pPr>
        <w:pStyle w:val="106"/>
        <w:ind w:firstLine="480"/>
      </w:pPr>
      <w:r>
        <w:rPr>
          <w:rFonts w:hint="eastAsia"/>
        </w:rPr>
        <w:t>（一）会诊管理</w:t>
      </w:r>
    </w:p>
    <w:p w14:paraId="043A189D">
      <w:pPr>
        <w:pStyle w:val="106"/>
        <w:ind w:firstLine="480"/>
      </w:pPr>
      <w:r>
        <w:t>(1)在远程会诊系统上实现上下级医院之间通过现有的音视频系统进行交互、支持影像文件查看、完整病历数据查看及在线讨论功能，支持医学专家与申请医生的远程互动交流会诊；</w:t>
      </w:r>
    </w:p>
    <w:p w14:paraId="69086237">
      <w:pPr>
        <w:pStyle w:val="106"/>
        <w:ind w:firstLine="480"/>
      </w:pPr>
      <w:r>
        <w:t>(2)远程会诊支持离线会诊模式和在线交互会诊模式；</w:t>
      </w:r>
    </w:p>
    <w:p w14:paraId="6FF484F6">
      <w:pPr>
        <w:pStyle w:val="106"/>
        <w:ind w:firstLine="480"/>
      </w:pPr>
      <w:r>
        <w:t>(3)支持会诊时间轴管理的历史会诊显示。</w:t>
      </w:r>
    </w:p>
    <w:p w14:paraId="20A4E083">
      <w:pPr>
        <w:pStyle w:val="106"/>
        <w:ind w:firstLine="480"/>
      </w:pPr>
      <w:r>
        <w:t>(4)支持会诊申请和会诊接收</w:t>
      </w:r>
    </w:p>
    <w:p w14:paraId="772C08A0">
      <w:pPr>
        <w:pStyle w:val="106"/>
        <w:ind w:firstLine="480"/>
      </w:pPr>
      <w:r>
        <w:rPr>
          <w:rFonts w:hint="eastAsia"/>
        </w:rPr>
        <w:t>（二）会诊信息查询</w:t>
      </w:r>
    </w:p>
    <w:p w14:paraId="54153C08">
      <w:pPr>
        <w:pStyle w:val="106"/>
        <w:ind w:firstLine="480"/>
      </w:pPr>
      <w:r>
        <w:t>(1)会诊通过待提交、申请、审核、分诊、会诊、报告核对、接收、已完成等几个状态进行管理；</w:t>
      </w:r>
    </w:p>
    <w:p w14:paraId="1CD7C752">
      <w:pPr>
        <w:pStyle w:val="106"/>
        <w:ind w:firstLine="480"/>
      </w:pPr>
      <w:r>
        <w:t>(2)可通过患者姓名、申请医生、申请机构、会诊医生、申请时间等条件组合式查询；</w:t>
      </w:r>
    </w:p>
    <w:p w14:paraId="65CBC41A">
      <w:pPr>
        <w:pStyle w:val="106"/>
        <w:ind w:firstLine="480"/>
      </w:pPr>
      <w:r>
        <w:rPr>
          <w:rFonts w:hint="eastAsia"/>
        </w:rPr>
        <w:t>（三）多学科会诊</w:t>
      </w:r>
    </w:p>
    <w:p w14:paraId="4BCD0D3F">
      <w:pPr>
        <w:pStyle w:val="106"/>
        <w:ind w:firstLine="480"/>
      </w:pPr>
      <w:r>
        <w:rPr>
          <w:rFonts w:hint="eastAsia"/>
        </w:rPr>
        <w:t>支持同时分诊给多个机构和科室，实现异地多科室同时会诊。</w:t>
      </w:r>
    </w:p>
    <w:p w14:paraId="16400161">
      <w:pPr>
        <w:pStyle w:val="106"/>
        <w:ind w:firstLine="480"/>
      </w:pPr>
      <w:r>
        <w:rPr>
          <w:rFonts w:hint="eastAsia"/>
        </w:rPr>
        <w:t>（四）会诊资料</w:t>
      </w:r>
    </w:p>
    <w:p w14:paraId="1ADE6DCB">
      <w:pPr>
        <w:pStyle w:val="106"/>
        <w:ind w:firstLine="480"/>
      </w:pPr>
      <w:r>
        <w:rPr>
          <w:rFonts w:hint="eastAsia"/>
        </w:rPr>
        <w:t>支持查看会诊的详细内容，如影像、附件等；支持查看患者过往历史信息包括：基本信息、历史检查检验信息、影像资料、病历记录、过敏史等内容，实现信息的充分共享，为医生提供统一方便的调阅入口，查阅患者详细疾病情况。</w:t>
      </w:r>
    </w:p>
    <w:p w14:paraId="508A74B9">
      <w:pPr>
        <w:pStyle w:val="106"/>
        <w:ind w:firstLine="480"/>
      </w:pPr>
      <w:r>
        <w:rPr>
          <w:rFonts w:hint="eastAsia"/>
        </w:rPr>
        <w:t>（五）</w:t>
      </w:r>
      <w:r>
        <w:t>会诊操作</w:t>
      </w:r>
    </w:p>
    <w:p w14:paraId="608DD4A7">
      <w:pPr>
        <w:pStyle w:val="106"/>
        <w:ind w:firstLine="480"/>
      </w:pPr>
      <w:r>
        <w:t>(1)支持发起离线会诊；</w:t>
      </w:r>
    </w:p>
    <w:p w14:paraId="0F4367D7">
      <w:pPr>
        <w:pStyle w:val="106"/>
        <w:ind w:firstLine="480"/>
      </w:pPr>
      <w:r>
        <w:t>(2)支持发起在线会诊；</w:t>
      </w:r>
    </w:p>
    <w:p w14:paraId="5250E788">
      <w:pPr>
        <w:pStyle w:val="106"/>
        <w:ind w:firstLine="480"/>
      </w:pPr>
      <w:r>
        <w:rPr>
          <w:rFonts w:hint="eastAsia"/>
        </w:rPr>
        <w:t>（六）</w:t>
      </w:r>
      <w:r>
        <w:t>会诊资源管理</w:t>
      </w:r>
    </w:p>
    <w:p w14:paraId="6239595C">
      <w:pPr>
        <w:pStyle w:val="106"/>
        <w:ind w:firstLine="480"/>
      </w:pPr>
      <w:r>
        <w:rPr>
          <w:rFonts w:hint="eastAsia"/>
        </w:rPr>
        <w:t>对会诊流程信息，数据信息进行记录，存储等管理。</w:t>
      </w:r>
    </w:p>
    <w:p w14:paraId="1D4A75A3">
      <w:pPr>
        <w:pStyle w:val="106"/>
        <w:ind w:firstLine="480"/>
      </w:pPr>
      <w:r>
        <w:rPr>
          <w:rFonts w:hint="eastAsia"/>
        </w:rPr>
        <w:t>（七）在线会诊</w:t>
      </w:r>
    </w:p>
    <w:p w14:paraId="57DB478E">
      <w:pPr>
        <w:pStyle w:val="106"/>
        <w:ind w:firstLine="480"/>
      </w:pPr>
      <w:r>
        <w:t>(1)支持流畅、清晰的显示申请界面及患者病历信息查看；</w:t>
      </w:r>
    </w:p>
    <w:p w14:paraId="5E892F8B">
      <w:pPr>
        <w:pStyle w:val="106"/>
        <w:ind w:firstLine="480"/>
      </w:pPr>
      <w:r>
        <w:t>(2)支持在线查阅患者影像资料；</w:t>
      </w:r>
    </w:p>
    <w:p w14:paraId="2E462587">
      <w:pPr>
        <w:pStyle w:val="106"/>
        <w:ind w:firstLine="480"/>
      </w:pPr>
      <w:r>
        <w:rPr>
          <w:rFonts w:hint="eastAsia"/>
        </w:rPr>
        <w:t>（八）会诊报告编辑</w:t>
      </w:r>
    </w:p>
    <w:p w14:paraId="5A255AA0">
      <w:pPr>
        <w:pStyle w:val="106"/>
        <w:ind w:firstLine="480"/>
      </w:pPr>
      <w:r>
        <w:rPr>
          <w:rFonts w:hint="eastAsia"/>
        </w:rPr>
        <w:t>每个科室专家均可使用本人的账号登录系统，在视频会诊之后，编写并提交会诊报告，系统支持将多份报告并排展示，以便会诊的申请端查看会诊报告。</w:t>
      </w:r>
    </w:p>
    <w:p w14:paraId="2F34C13B">
      <w:pPr>
        <w:pStyle w:val="6"/>
        <w:numPr>
          <w:ilvl w:val="3"/>
          <w:numId w:val="16"/>
        </w:numPr>
      </w:pPr>
      <w:bookmarkStart w:id="408" w:name="_Toc127968096"/>
      <w:bookmarkStart w:id="409" w:name="_Toc104381692"/>
      <w:bookmarkStart w:id="410" w:name="_Toc96708298"/>
      <w:r>
        <w:rPr>
          <w:rFonts w:hint="eastAsia"/>
        </w:rPr>
        <w:t>远程协同门诊</w:t>
      </w:r>
      <w:bookmarkEnd w:id="408"/>
      <w:bookmarkEnd w:id="409"/>
      <w:bookmarkEnd w:id="410"/>
    </w:p>
    <w:p w14:paraId="2CE1629C">
      <w:pPr>
        <w:pStyle w:val="3"/>
      </w:pPr>
      <w:r>
        <w:rPr>
          <w:rFonts w:hint="eastAsia" w:asciiTheme="minorEastAsia" w:hAnsiTheme="minorEastAsia" w:eastAsiaTheme="minorEastAsia"/>
        </w:rPr>
        <w:t>具备支持以下功能：</w:t>
      </w:r>
    </w:p>
    <w:p w14:paraId="4A001E29">
      <w:pPr>
        <w:pStyle w:val="106"/>
        <w:ind w:firstLine="480"/>
      </w:pPr>
      <w:r>
        <w:rPr>
          <w:rFonts w:hint="eastAsia"/>
        </w:rPr>
        <w:t>下级协作医院医生可通过远程门诊在本院门诊就诊时预约上级医院的专家，通过信息共享和远程视频，上级专家即可在线指导基层协作医院医生进行诊断、用药、治疗共同诊治患者，为解决基层患者就医和下级医生提高能力提供了便捷有效的途径。</w:t>
      </w:r>
    </w:p>
    <w:p w14:paraId="2C05A96A">
      <w:pPr>
        <w:pStyle w:val="106"/>
        <w:ind w:firstLine="480"/>
      </w:pPr>
      <w:r>
        <w:rPr>
          <w:rFonts w:hint="eastAsia"/>
        </w:rPr>
        <w:t>（一）门诊排班</w:t>
      </w:r>
    </w:p>
    <w:p w14:paraId="51E1B556">
      <w:pPr>
        <w:pStyle w:val="106"/>
        <w:ind w:firstLine="480"/>
      </w:pPr>
      <w:r>
        <w:rPr>
          <w:rFonts w:hint="eastAsia"/>
        </w:rPr>
        <w:t>支持管理员后台进行线上的门诊排班，经过排班的专家才可以被下级医疗机构预约到。</w:t>
      </w:r>
    </w:p>
    <w:p w14:paraId="44118AA1">
      <w:pPr>
        <w:pStyle w:val="106"/>
        <w:ind w:firstLine="480"/>
      </w:pPr>
      <w:r>
        <w:rPr>
          <w:rFonts w:hint="eastAsia"/>
        </w:rPr>
        <w:t>（二）远程门诊服务管理</w:t>
      </w:r>
    </w:p>
    <w:p w14:paraId="73C4A413">
      <w:pPr>
        <w:pStyle w:val="106"/>
        <w:ind w:firstLine="480"/>
      </w:pPr>
      <w:r>
        <w:rPr>
          <w:rFonts w:hint="eastAsia"/>
        </w:rPr>
        <w:t>支持对医生自己的远程门诊服务进行启停管理，只有服务开启状态才可以进入排班名单。</w:t>
      </w:r>
    </w:p>
    <w:p w14:paraId="6774822C">
      <w:pPr>
        <w:pStyle w:val="106"/>
        <w:ind w:firstLine="480"/>
      </w:pPr>
      <w:r>
        <w:rPr>
          <w:rFonts w:hint="eastAsia"/>
        </w:rPr>
        <w:t>（三）预约远程专家</w:t>
      </w:r>
    </w:p>
    <w:p w14:paraId="5D0FF222">
      <w:pPr>
        <w:pStyle w:val="106"/>
        <w:ind w:firstLine="480"/>
      </w:pPr>
      <w:r>
        <w:t>(1)支持查询专家的排班情况、号源预约情况；</w:t>
      </w:r>
    </w:p>
    <w:p w14:paraId="3AE8FDEE">
      <w:pPr>
        <w:pStyle w:val="106"/>
        <w:ind w:firstLine="480"/>
      </w:pPr>
      <w:r>
        <w:t>(2)通过查询目标机构和科室定位专家号源，支持预约已有排班的专家。</w:t>
      </w:r>
    </w:p>
    <w:p w14:paraId="54199CF2">
      <w:pPr>
        <w:pStyle w:val="106"/>
        <w:ind w:firstLine="480"/>
      </w:pPr>
      <w:r>
        <w:rPr>
          <w:rFonts w:hint="eastAsia"/>
        </w:rPr>
        <w:t>（四）我的门诊排班</w:t>
      </w:r>
    </w:p>
    <w:p w14:paraId="6797B92A">
      <w:pPr>
        <w:pStyle w:val="106"/>
        <w:ind w:firstLine="480"/>
      </w:pPr>
      <w:r>
        <w:rPr>
          <w:rFonts w:hint="eastAsia"/>
        </w:rPr>
        <w:t>支持查询自己的排班情况及号源预约情况。</w:t>
      </w:r>
    </w:p>
    <w:p w14:paraId="3C34F5F8">
      <w:pPr>
        <w:pStyle w:val="106"/>
        <w:ind w:firstLine="480"/>
      </w:pPr>
      <w:r>
        <w:rPr>
          <w:rFonts w:hint="eastAsia"/>
        </w:rPr>
        <w:t>（五）门诊列表</w:t>
      </w:r>
    </w:p>
    <w:p w14:paraId="2BE14740">
      <w:pPr>
        <w:pStyle w:val="106"/>
        <w:ind w:firstLine="480"/>
      </w:pPr>
      <w:r>
        <w:t>(1)查看历史远程门诊信息，包括：患者、日期、就诊状态、申请医生、坐诊专家；</w:t>
      </w:r>
    </w:p>
    <w:p w14:paraId="45778353">
      <w:pPr>
        <w:pStyle w:val="106"/>
        <w:ind w:firstLine="480"/>
      </w:pPr>
      <w:r>
        <w:t>(2)支持查看患者远程门诊就诊详细情况，包括：主诉、会诊需求情况、患者病历的图片附件、当次建议处方、建议诊断等；</w:t>
      </w:r>
    </w:p>
    <w:p w14:paraId="33A74841">
      <w:pPr>
        <w:pStyle w:val="106"/>
        <w:ind w:firstLine="480"/>
      </w:pPr>
      <w:r>
        <w:t>(3)支持查看患者病历信息，包括：电子病历文书、检验检查报告、影像图像等。</w:t>
      </w:r>
    </w:p>
    <w:p w14:paraId="1AB75DBE">
      <w:pPr>
        <w:pStyle w:val="106"/>
        <w:ind w:firstLine="480"/>
      </w:pPr>
      <w:r>
        <w:rPr>
          <w:rFonts w:hint="eastAsia"/>
        </w:rPr>
        <w:t>（六）今日门诊情况</w:t>
      </w:r>
    </w:p>
    <w:p w14:paraId="484183F7">
      <w:pPr>
        <w:pStyle w:val="106"/>
        <w:ind w:firstLine="480"/>
      </w:pPr>
      <w:r>
        <w:t>(1)查询当前待处理的远程门诊业务；</w:t>
      </w:r>
    </w:p>
    <w:p w14:paraId="028F54A9">
      <w:pPr>
        <w:pStyle w:val="106"/>
        <w:ind w:firstLine="480"/>
      </w:pPr>
      <w:r>
        <w:t>(2)支持查看今日门诊已处理、待处理数据情况。</w:t>
      </w:r>
    </w:p>
    <w:p w14:paraId="3BC74B59">
      <w:pPr>
        <w:pStyle w:val="106"/>
        <w:ind w:firstLine="480"/>
      </w:pPr>
      <w:r>
        <w:rPr>
          <w:rFonts w:hint="eastAsia"/>
        </w:rPr>
        <w:t>（七）未来一周门诊预约情况</w:t>
      </w:r>
    </w:p>
    <w:p w14:paraId="7F30170F">
      <w:pPr>
        <w:pStyle w:val="106"/>
        <w:ind w:firstLine="480"/>
      </w:pPr>
      <w:r>
        <w:rPr>
          <w:rFonts w:hint="eastAsia"/>
        </w:rPr>
        <w:t>支持查看当前开始未来一周的远程门诊号源预约情况。</w:t>
      </w:r>
    </w:p>
    <w:p w14:paraId="25D32542">
      <w:pPr>
        <w:pStyle w:val="106"/>
        <w:ind w:firstLine="480"/>
      </w:pPr>
      <w:r>
        <w:rPr>
          <w:rFonts w:hint="eastAsia"/>
        </w:rPr>
        <w:t>（八）进入诊室</w:t>
      </w:r>
    </w:p>
    <w:p w14:paraId="02BC5BC9">
      <w:pPr>
        <w:pStyle w:val="106"/>
        <w:ind w:firstLine="480"/>
      </w:pPr>
      <w:r>
        <w:t>(1)我申请：当前本人发起申请的患者列表；</w:t>
      </w:r>
    </w:p>
    <w:p w14:paraId="686BBF89">
      <w:pPr>
        <w:pStyle w:val="106"/>
        <w:ind w:firstLine="480"/>
      </w:pPr>
      <w:r>
        <w:t>(2)我坐诊：当前本人接诊的患者列表；</w:t>
      </w:r>
    </w:p>
    <w:p w14:paraId="002393DF">
      <w:pPr>
        <w:pStyle w:val="106"/>
        <w:ind w:firstLine="480"/>
      </w:pPr>
      <w:r>
        <w:t>(3)准备就绪：更新进入排队序列的远程门诊申请状态，由“患者未就绪”变更为“已就绪”，只有已就绪状态的订单才可以进入呼叫队列被专家远程接诊；</w:t>
      </w:r>
    </w:p>
    <w:p w14:paraId="0875B402">
      <w:pPr>
        <w:pStyle w:val="106"/>
        <w:ind w:firstLine="480"/>
      </w:pPr>
      <w:r>
        <w:t>(4)线上呼叫：专家对远程门诊线上排队序列进行在线呼叫，呼叫后进入就诊状态，一次仅允许一个患者处于就诊状态，进入就诊状态的申请单才可以进行远程门诊就诊；</w:t>
      </w:r>
    </w:p>
    <w:p w14:paraId="1061F0AD">
      <w:pPr>
        <w:pStyle w:val="106"/>
        <w:ind w:firstLine="480"/>
      </w:pPr>
      <w:r>
        <w:t>(5)支持对进入就诊状态的患者向下级协作医院开具患者诊疗建议，下级协作医院的医生根据上级医生的建议在其院内系统开具正式处方。</w:t>
      </w:r>
    </w:p>
    <w:p w14:paraId="0981E589">
      <w:pPr>
        <w:pStyle w:val="5"/>
        <w:numPr>
          <w:ilvl w:val="2"/>
          <w:numId w:val="16"/>
        </w:numPr>
      </w:pPr>
      <w:bookmarkStart w:id="411" w:name="_Toc77325908"/>
      <w:bookmarkStart w:id="412" w:name="_Toc104381695"/>
      <w:bookmarkStart w:id="413" w:name="_Toc127968099"/>
      <w:bookmarkStart w:id="414" w:name="_Toc96708318"/>
      <w:r>
        <w:rPr>
          <w:rFonts w:hint="eastAsia"/>
        </w:rPr>
        <w:t>转诊</w:t>
      </w:r>
      <w:bookmarkEnd w:id="411"/>
      <w:bookmarkEnd w:id="412"/>
      <w:bookmarkEnd w:id="413"/>
      <w:bookmarkEnd w:id="414"/>
      <w:r>
        <w:rPr>
          <w:rFonts w:hint="eastAsia"/>
        </w:rPr>
        <w:t>中心</w:t>
      </w:r>
    </w:p>
    <w:p w14:paraId="3E13D5E6">
      <w:pPr>
        <w:pStyle w:val="3"/>
      </w:pPr>
      <w:r>
        <w:rPr>
          <w:rFonts w:hint="eastAsia" w:asciiTheme="minorEastAsia" w:hAnsiTheme="minorEastAsia" w:eastAsiaTheme="minorEastAsia"/>
        </w:rPr>
        <w:t>具备支持以下功能：</w:t>
      </w:r>
    </w:p>
    <w:p w14:paraId="4AC38531">
      <w:pPr>
        <w:ind w:firstLine="480" w:firstLineChars="200"/>
        <w:rPr>
          <w:lang w:val="zh-CN"/>
        </w:rPr>
      </w:pPr>
      <w:r>
        <w:rPr>
          <w:rFonts w:hint="eastAsia"/>
          <w:lang w:val="zh-CN"/>
        </w:rPr>
        <w:t>双向转诊系统实现居民在基层医疗机构就诊后，经基层医疗机构向上级医院转诊，居民到上级医院就诊时，医院的医师能够通过健康档案浏览器调阅到该居民在基层医疗机构就诊时的检验/检查报告、电子病历信息等，同时双向转诊也可以实现上级医院转向基层医疗机构。</w:t>
      </w:r>
    </w:p>
    <w:p w14:paraId="3CE165BD">
      <w:pPr>
        <w:pStyle w:val="6"/>
        <w:numPr>
          <w:ilvl w:val="3"/>
          <w:numId w:val="16"/>
        </w:numPr>
      </w:pPr>
      <w:bookmarkStart w:id="415" w:name="_Toc174458973"/>
      <w:bookmarkStart w:id="416" w:name="_Toc164957187"/>
      <w:r>
        <w:rPr>
          <w:rFonts w:hint="eastAsia"/>
        </w:rPr>
        <w:t>基本服务</w:t>
      </w:r>
      <w:bookmarkEnd w:id="415"/>
    </w:p>
    <w:p w14:paraId="63279801">
      <w:pPr>
        <w:ind w:firstLine="480" w:firstLineChars="200"/>
      </w:pPr>
      <w:r>
        <w:rPr>
          <w:rFonts w:hint="eastAsia"/>
        </w:rPr>
        <w:t>提供本系统的基础服务功能，包括对机构、用户、角色的维护、对基础字典的维护等，进而为平台有效的运行提供支撑，服务包括如下部分功能：</w:t>
      </w:r>
    </w:p>
    <w:p w14:paraId="09734638">
      <w:pPr>
        <w:numPr>
          <w:ilvl w:val="0"/>
          <w:numId w:val="41"/>
        </w:numPr>
        <w:ind w:left="0" w:firstLine="480" w:firstLineChars="200"/>
      </w:pPr>
      <w:r>
        <w:rPr>
          <w:rFonts w:hint="eastAsia"/>
        </w:rPr>
        <w:t xml:space="preserve">机构维护； </w:t>
      </w:r>
    </w:p>
    <w:p w14:paraId="26865DFC">
      <w:pPr>
        <w:numPr>
          <w:ilvl w:val="0"/>
          <w:numId w:val="41"/>
        </w:numPr>
        <w:ind w:left="0" w:firstLine="480" w:firstLineChars="200"/>
      </w:pPr>
      <w:r>
        <w:rPr>
          <w:rFonts w:hint="eastAsia"/>
        </w:rPr>
        <w:t>角色维护；</w:t>
      </w:r>
    </w:p>
    <w:p w14:paraId="7B40EFDD">
      <w:pPr>
        <w:numPr>
          <w:ilvl w:val="0"/>
          <w:numId w:val="41"/>
        </w:numPr>
        <w:ind w:left="0" w:firstLine="480" w:firstLineChars="200"/>
      </w:pPr>
      <w:r>
        <w:rPr>
          <w:rFonts w:hint="eastAsia"/>
        </w:rPr>
        <w:t>字典维护；</w:t>
      </w:r>
    </w:p>
    <w:p w14:paraId="4B14F10E">
      <w:pPr>
        <w:numPr>
          <w:ilvl w:val="0"/>
          <w:numId w:val="41"/>
        </w:numPr>
        <w:ind w:left="0" w:firstLine="480" w:firstLineChars="200"/>
      </w:pPr>
      <w:r>
        <w:rPr>
          <w:rFonts w:hint="eastAsia"/>
        </w:rPr>
        <w:t>接口维护；</w:t>
      </w:r>
    </w:p>
    <w:p w14:paraId="63456641">
      <w:pPr>
        <w:numPr>
          <w:ilvl w:val="0"/>
          <w:numId w:val="41"/>
        </w:numPr>
        <w:ind w:left="0" w:firstLine="480" w:firstLineChars="200"/>
      </w:pPr>
      <w:r>
        <w:rPr>
          <w:rFonts w:hint="eastAsia"/>
        </w:rPr>
        <w:t>安全日志；</w:t>
      </w:r>
    </w:p>
    <w:p w14:paraId="1F4BC4C6">
      <w:pPr>
        <w:pStyle w:val="6"/>
        <w:numPr>
          <w:ilvl w:val="3"/>
          <w:numId w:val="16"/>
        </w:numPr>
      </w:pPr>
      <w:bookmarkStart w:id="417" w:name="_Toc174458974"/>
      <w:bookmarkStart w:id="418" w:name="_Toc164957189"/>
      <w:r>
        <w:rPr>
          <w:rFonts w:hint="eastAsia"/>
        </w:rPr>
        <w:t>诊间预约</w:t>
      </w:r>
      <w:bookmarkEnd w:id="417"/>
      <w:bookmarkEnd w:id="418"/>
    </w:p>
    <w:p w14:paraId="4F8EED38">
      <w:pPr>
        <w:ind w:firstLine="480" w:firstLineChars="200"/>
      </w:pPr>
      <w:r>
        <w:rPr>
          <w:rFonts w:hint="eastAsia"/>
        </w:rPr>
        <w:t>分级诊疗平台提供诊间预约功能，患者在医生接诊后，可以直接在诊间进行下一次同一位医生的门诊预约登记，方便医生对患者的病情跟踪与治疗的同时，也免除了患者在门诊治疗后再打电话或上网预约的麻烦，各科医生可在门诊专家工作站上通过预约管理功能为患者预约下次就诊时间，以提醒患者下一次就诊时间、取号方式等。复诊时，患者可以直接到各候诊区域，按挂号先后顺序就诊。当然对于患者由于病情需要转到上级医院或其他医院的，医生同样可以通过诊间预约的功能帮患者直接预约好上级医院或其他医院的医生，患者只需要直接到相应医院找对应的医生看诊即可。</w:t>
      </w:r>
    </w:p>
    <w:p w14:paraId="17DC20CD">
      <w:pPr>
        <w:pStyle w:val="106"/>
        <w:ind w:firstLine="480"/>
      </w:pPr>
      <w:r>
        <w:rPr>
          <w:rFonts w:hint="eastAsia"/>
        </w:rPr>
        <w:t>诊间预约是为了缓解老百姓看病难、挂号难、复诊时挂同一专家号更难，而开设的一项有力举措。诊间预约不仅可以减少患者的等待时间，还能使医生事先对患者的病情作进一步的了解，从而提高诊断与治疗水平。</w:t>
      </w:r>
    </w:p>
    <w:p w14:paraId="711C3DA9">
      <w:pPr>
        <w:pStyle w:val="6"/>
        <w:numPr>
          <w:ilvl w:val="3"/>
          <w:numId w:val="16"/>
        </w:numPr>
      </w:pPr>
      <w:bookmarkStart w:id="419" w:name="_Toc174458975"/>
      <w:bookmarkStart w:id="420" w:name="_Toc164957190"/>
      <w:r>
        <w:rPr>
          <w:rFonts w:hint="eastAsia"/>
        </w:rPr>
        <w:t>门诊上转</w:t>
      </w:r>
      <w:bookmarkEnd w:id="419"/>
      <w:bookmarkEnd w:id="420"/>
    </w:p>
    <w:p w14:paraId="2B95F894">
      <w:pPr>
        <w:ind w:firstLine="480" w:firstLineChars="200"/>
      </w:pPr>
      <w:r>
        <w:rPr>
          <w:rFonts w:hint="eastAsia"/>
        </w:rPr>
        <w:t xml:space="preserve">患者到社区就诊，社区医生发现无法对该患者的病情进行更深入一步的判断，此时社区医生就可以在基层HIS进行转诊操作，同时通过统一预约平台为患者预约上级医院的医生号源。 </w:t>
      </w:r>
    </w:p>
    <w:p w14:paraId="0597B090">
      <w:pPr>
        <w:pStyle w:val="6"/>
        <w:numPr>
          <w:ilvl w:val="3"/>
          <w:numId w:val="16"/>
        </w:numPr>
      </w:pPr>
      <w:bookmarkStart w:id="421" w:name="_Toc174458976"/>
      <w:bookmarkStart w:id="422" w:name="_Toc164957191"/>
      <w:r>
        <w:rPr>
          <w:rFonts w:hint="eastAsia"/>
        </w:rPr>
        <w:t>门诊下转</w:t>
      </w:r>
      <w:bookmarkEnd w:id="421"/>
      <w:bookmarkEnd w:id="422"/>
    </w:p>
    <w:p w14:paraId="6FDE0C5B">
      <w:pPr>
        <w:ind w:firstLine="480" w:firstLineChars="200"/>
      </w:pPr>
      <w:r>
        <w:rPr>
          <w:rFonts w:hint="eastAsia"/>
        </w:rPr>
        <w:t>患者在大医院就诊完毕，病情好转或者可以回家做康复治疗的时候，由上级医生开具下转申请单，病人回社区进行后续的康复治疗。</w:t>
      </w:r>
    </w:p>
    <w:p w14:paraId="178DE213">
      <w:pPr>
        <w:pStyle w:val="6"/>
        <w:numPr>
          <w:ilvl w:val="3"/>
          <w:numId w:val="16"/>
        </w:numPr>
      </w:pPr>
      <w:bookmarkStart w:id="423" w:name="_Toc174458977"/>
      <w:bookmarkStart w:id="424" w:name="_Toc164957192"/>
      <w:r>
        <w:rPr>
          <w:rFonts w:hint="eastAsia"/>
        </w:rPr>
        <w:t>住院上转</w:t>
      </w:r>
      <w:bookmarkEnd w:id="423"/>
      <w:bookmarkEnd w:id="424"/>
    </w:p>
    <w:p w14:paraId="2787E5FB">
      <w:pPr>
        <w:ind w:firstLine="480" w:firstLineChars="200"/>
      </w:pPr>
      <w:r>
        <w:rPr>
          <w:rFonts w:hint="eastAsia"/>
        </w:rPr>
        <w:t xml:space="preserve">患者到社区就诊，社区医生发现无法对该患者的病情进行更深入一步的判断，此时社区医生就可以在基层HIS进行转诊操作，同时通过统一预约平台为患者预约上级医院的床位。 </w:t>
      </w:r>
    </w:p>
    <w:p w14:paraId="49EF21D9">
      <w:pPr>
        <w:pStyle w:val="6"/>
        <w:numPr>
          <w:ilvl w:val="3"/>
          <w:numId w:val="16"/>
        </w:numPr>
      </w:pPr>
      <w:bookmarkStart w:id="425" w:name="_Toc174458978"/>
      <w:bookmarkStart w:id="426" w:name="_Toc164957193"/>
      <w:r>
        <w:rPr>
          <w:rFonts w:hint="eastAsia"/>
        </w:rPr>
        <w:t>住院下转</w:t>
      </w:r>
      <w:bookmarkEnd w:id="425"/>
      <w:bookmarkEnd w:id="426"/>
    </w:p>
    <w:p w14:paraId="76260B36">
      <w:pPr>
        <w:ind w:firstLine="480" w:firstLineChars="200"/>
      </w:pPr>
      <w:r>
        <w:rPr>
          <w:rFonts w:hint="eastAsia"/>
        </w:rPr>
        <w:t>患者在大医院就诊完毕，病情好转或者可以回家做康复治疗的时候，由上级医生开具下转申请单，病人回社区进行后续的康复治疗。</w:t>
      </w:r>
      <w:bookmarkEnd w:id="416"/>
      <w:bookmarkStart w:id="427" w:name="_Toc174456324"/>
      <w:bookmarkEnd w:id="427"/>
      <w:bookmarkStart w:id="428" w:name="_Toc174458980"/>
      <w:bookmarkEnd w:id="428"/>
      <w:bookmarkStart w:id="429" w:name="_Toc174456322"/>
      <w:bookmarkEnd w:id="429"/>
      <w:bookmarkStart w:id="430" w:name="_Toc174458979"/>
      <w:bookmarkEnd w:id="430"/>
      <w:bookmarkStart w:id="431" w:name="_Toc174456323"/>
      <w:bookmarkEnd w:id="431"/>
      <w:bookmarkStart w:id="432" w:name="_Toc174458981"/>
      <w:bookmarkEnd w:id="432"/>
    </w:p>
    <w:p w14:paraId="6B06CBD8">
      <w:pPr>
        <w:pStyle w:val="5"/>
        <w:numPr>
          <w:ilvl w:val="2"/>
          <w:numId w:val="16"/>
        </w:numPr>
      </w:pPr>
      <w:bookmarkStart w:id="433" w:name="_Toc96708002"/>
      <w:bookmarkEnd w:id="433"/>
      <w:bookmarkStart w:id="434" w:name="_Toc96708319"/>
      <w:bookmarkEnd w:id="434"/>
      <w:r>
        <w:t>检查检验结果互认</w:t>
      </w:r>
      <w:r>
        <w:rPr>
          <w:rFonts w:hint="eastAsia"/>
        </w:rPr>
        <w:t>中心</w:t>
      </w:r>
    </w:p>
    <w:p w14:paraId="4048E125">
      <w:pPr>
        <w:pStyle w:val="6"/>
        <w:numPr>
          <w:ilvl w:val="3"/>
          <w:numId w:val="16"/>
        </w:numPr>
      </w:pPr>
      <w:bookmarkStart w:id="435" w:name="_Toc164957182"/>
      <w:bookmarkStart w:id="436" w:name="_Toc174458965"/>
      <w:bookmarkStart w:id="437" w:name="_Toc100154542"/>
      <w:bookmarkStart w:id="438" w:name="_Hlk100249287"/>
      <w:r>
        <w:rPr>
          <w:rFonts w:hint="eastAsia"/>
        </w:rPr>
        <w:t>互认方式</w:t>
      </w:r>
      <w:bookmarkEnd w:id="435"/>
      <w:bookmarkEnd w:id="436"/>
    </w:p>
    <w:p w14:paraId="10315E2D">
      <w:pPr>
        <w:pStyle w:val="3"/>
      </w:pPr>
      <w:r>
        <w:rPr>
          <w:rFonts w:hint="eastAsia" w:asciiTheme="minorEastAsia" w:hAnsiTheme="minorEastAsia" w:eastAsiaTheme="minorEastAsia"/>
        </w:rPr>
        <w:t>具备支持以下功能：</w:t>
      </w:r>
    </w:p>
    <w:p w14:paraId="20E48A51">
      <w:pPr>
        <w:pStyle w:val="186"/>
        <w:ind w:firstLine="480"/>
        <w:rPr>
          <w:rFonts w:ascii="宋体" w:hAnsi="宋体"/>
          <w:lang w:val="zh-CN"/>
        </w:rPr>
      </w:pPr>
      <w:r>
        <w:rPr>
          <w:rFonts w:hint="eastAsia" w:ascii="宋体" w:hAnsi="宋体"/>
          <w:lang w:val="zh-CN"/>
        </w:rPr>
        <w:t>（一）医生工作站主动提醒检查检验结果</w:t>
      </w:r>
    </w:p>
    <w:p w14:paraId="2DF28345">
      <w:pPr>
        <w:pStyle w:val="186"/>
        <w:ind w:firstLine="480"/>
        <w:rPr>
          <w:rFonts w:ascii="宋体" w:hAnsi="宋体"/>
          <w:lang w:val="zh-CN"/>
        </w:rPr>
      </w:pPr>
      <w:r>
        <w:rPr>
          <w:rFonts w:hint="eastAsia" w:ascii="宋体" w:hAnsi="宋体"/>
          <w:lang w:val="zh-CN"/>
        </w:rPr>
        <w:t>患者就诊时，其近期（一般3个月内）在具备互认资格的医疗机构所做的检查检验结果（标示“HR”号），可通过居民健康信息系统向医师工作站主动展示信息，告知医师有检查检验结果可供参考，医师对疾病周期性变化规律时间范围内的、能提供规范完整的检查检验结果，遵照互认项目和适用范围予以认可，不再进行重复检查。</w:t>
      </w:r>
    </w:p>
    <w:p w14:paraId="368F01F8">
      <w:pPr>
        <w:pStyle w:val="186"/>
        <w:ind w:firstLine="480"/>
        <w:rPr>
          <w:rFonts w:ascii="宋体" w:hAnsi="宋体"/>
          <w:lang w:val="zh-CN"/>
        </w:rPr>
      </w:pPr>
      <w:r>
        <w:rPr>
          <w:rFonts w:hint="eastAsia" w:ascii="宋体" w:hAnsi="宋体"/>
          <w:lang w:val="zh-CN"/>
        </w:rPr>
        <w:t>（二）医师对检查检验结果作出是否认可的判断</w:t>
      </w:r>
    </w:p>
    <w:p w14:paraId="4B767B53">
      <w:pPr>
        <w:pStyle w:val="186"/>
        <w:ind w:firstLine="480"/>
        <w:rPr>
          <w:rFonts w:ascii="宋体" w:hAnsi="宋体"/>
          <w:lang w:val="zh-CN"/>
        </w:rPr>
      </w:pPr>
      <w:r>
        <w:rPr>
          <w:rFonts w:hint="eastAsia" w:ascii="宋体" w:hAnsi="宋体"/>
          <w:lang w:val="zh-CN"/>
        </w:rPr>
        <w:t>在诊疗过程中，医师在保障医疗质量和医疗安全的前提下，充分考虑疾病变化发展的可能，仔细分析患者的检查检验结果能否满足患者诊疗需要后，判断是否认可外院的检查检验结果。认可的外院检查检验结果应在病历中记载，记载内容包括检查检验结果、检查机构名称、日期等。对于诊疗需要，确需重复进行检查检验的，应当按规定充分告知患者或其家属检查目的及必要性等。</w:t>
      </w:r>
    </w:p>
    <w:p w14:paraId="131D4CF1">
      <w:pPr>
        <w:pStyle w:val="186"/>
        <w:ind w:firstLine="480"/>
        <w:rPr>
          <w:rFonts w:ascii="宋体" w:hAnsi="宋体"/>
          <w:lang w:val="zh-CN"/>
        </w:rPr>
      </w:pPr>
      <w:r>
        <w:rPr>
          <w:rFonts w:hint="eastAsia" w:ascii="宋体" w:hAnsi="宋体"/>
          <w:lang w:val="zh-CN"/>
        </w:rPr>
        <w:t>（三）根据诊疗常规可不受互认限制情形</w:t>
      </w:r>
    </w:p>
    <w:p w14:paraId="5BD1BEB3">
      <w:pPr>
        <w:pStyle w:val="186"/>
        <w:numPr>
          <w:ilvl w:val="0"/>
          <w:numId w:val="42"/>
        </w:numPr>
        <w:ind w:left="0" w:firstLine="480"/>
        <w:rPr>
          <w:rFonts w:ascii="宋体" w:hAnsi="宋体"/>
          <w:lang w:val="zh-CN"/>
        </w:rPr>
      </w:pPr>
      <w:r>
        <w:rPr>
          <w:rFonts w:hint="eastAsia" w:ascii="宋体" w:hAnsi="宋体"/>
          <w:lang w:val="zh-CN"/>
        </w:rPr>
        <w:t>因病情变化，检查检验结果与患者临床表现、疾病诊断不符，难以满足临床诊疗需求的；</w:t>
      </w:r>
    </w:p>
    <w:p w14:paraId="57587E2B">
      <w:pPr>
        <w:pStyle w:val="186"/>
        <w:numPr>
          <w:ilvl w:val="0"/>
          <w:numId w:val="42"/>
        </w:numPr>
        <w:ind w:left="0" w:firstLine="480"/>
        <w:rPr>
          <w:rFonts w:ascii="宋体" w:hAnsi="宋体"/>
          <w:lang w:val="zh-CN"/>
        </w:rPr>
      </w:pPr>
      <w:r>
        <w:rPr>
          <w:rFonts w:hint="eastAsia" w:ascii="宋体" w:hAnsi="宋体"/>
          <w:lang w:val="zh-CN"/>
        </w:rPr>
        <w:t>检查检验结果在疾病发展演变过程中变化较快的；</w:t>
      </w:r>
    </w:p>
    <w:p w14:paraId="5499BC03">
      <w:pPr>
        <w:pStyle w:val="186"/>
        <w:numPr>
          <w:ilvl w:val="0"/>
          <w:numId w:val="42"/>
        </w:numPr>
        <w:ind w:left="0" w:firstLine="480"/>
        <w:rPr>
          <w:rFonts w:ascii="宋体" w:hAnsi="宋体"/>
          <w:lang w:val="zh-CN"/>
        </w:rPr>
      </w:pPr>
      <w:r>
        <w:rPr>
          <w:rFonts w:hint="eastAsia" w:ascii="宋体" w:hAnsi="宋体"/>
          <w:lang w:val="zh-CN"/>
        </w:rPr>
        <w:t>检查检验项目对于疾病诊疗意义重大的（如手术、输血等重大医疗措施前）；</w:t>
      </w:r>
    </w:p>
    <w:p w14:paraId="467CA499">
      <w:pPr>
        <w:pStyle w:val="186"/>
        <w:numPr>
          <w:ilvl w:val="0"/>
          <w:numId w:val="42"/>
        </w:numPr>
        <w:ind w:left="0" w:firstLine="480"/>
        <w:rPr>
          <w:rFonts w:ascii="宋体" w:hAnsi="宋体"/>
          <w:lang w:val="zh-CN"/>
        </w:rPr>
      </w:pPr>
      <w:r>
        <w:rPr>
          <w:rFonts w:hint="eastAsia" w:ascii="宋体" w:hAnsi="宋体"/>
          <w:lang w:val="zh-CN"/>
        </w:rPr>
        <w:t>患者处于急诊、急救等紧急状态下的；</w:t>
      </w:r>
    </w:p>
    <w:p w14:paraId="2AFA6E3D">
      <w:pPr>
        <w:pStyle w:val="186"/>
        <w:numPr>
          <w:ilvl w:val="0"/>
          <w:numId w:val="42"/>
        </w:numPr>
        <w:ind w:left="0" w:firstLine="480"/>
        <w:rPr>
          <w:rFonts w:ascii="宋体" w:hAnsi="宋体"/>
          <w:lang w:val="zh-CN"/>
        </w:rPr>
      </w:pPr>
      <w:r>
        <w:rPr>
          <w:rFonts w:hint="eastAsia" w:ascii="宋体" w:hAnsi="宋体"/>
          <w:lang w:val="zh-CN"/>
        </w:rPr>
        <w:t>涉及司法、伤残及病退等鉴定的；</w:t>
      </w:r>
    </w:p>
    <w:p w14:paraId="1483DBD1">
      <w:pPr>
        <w:pStyle w:val="186"/>
        <w:numPr>
          <w:ilvl w:val="0"/>
          <w:numId w:val="42"/>
        </w:numPr>
        <w:ind w:left="0" w:firstLine="480"/>
        <w:rPr>
          <w:rFonts w:ascii="宋体" w:hAnsi="宋体"/>
          <w:lang w:val="zh-CN"/>
        </w:rPr>
      </w:pPr>
      <w:r>
        <w:rPr>
          <w:rFonts w:hint="eastAsia" w:ascii="宋体" w:hAnsi="宋体"/>
          <w:lang w:val="zh-CN"/>
        </w:rPr>
        <w:t>其他情形确需复查的。</w:t>
      </w:r>
    </w:p>
    <w:p w14:paraId="5F90972F">
      <w:pPr>
        <w:pStyle w:val="6"/>
        <w:numPr>
          <w:ilvl w:val="3"/>
          <w:numId w:val="16"/>
        </w:numPr>
      </w:pPr>
      <w:bookmarkStart w:id="439" w:name="_Toc164957183"/>
      <w:bookmarkStart w:id="440" w:name="_Toc174458966"/>
      <w:r>
        <w:rPr>
          <w:rFonts w:hint="eastAsia"/>
        </w:rPr>
        <w:t>互认协同交互服务</w:t>
      </w:r>
      <w:bookmarkEnd w:id="439"/>
      <w:bookmarkEnd w:id="440"/>
    </w:p>
    <w:p w14:paraId="124547EF">
      <w:pPr>
        <w:pStyle w:val="3"/>
      </w:pPr>
      <w:r>
        <w:rPr>
          <w:rFonts w:hint="eastAsia" w:asciiTheme="minorEastAsia" w:hAnsiTheme="minorEastAsia" w:eastAsiaTheme="minorEastAsia"/>
        </w:rPr>
        <w:t>具备支持以下功能：</w:t>
      </w:r>
    </w:p>
    <w:p w14:paraId="412C7F07">
      <w:pPr>
        <w:pStyle w:val="7"/>
        <w:numPr>
          <w:ilvl w:val="4"/>
          <w:numId w:val="16"/>
        </w:numPr>
      </w:pPr>
      <w:r>
        <w:rPr>
          <w:rFonts w:hint="eastAsia"/>
        </w:rPr>
        <w:t>检验报告注册</w:t>
      </w:r>
    </w:p>
    <w:p w14:paraId="79724299">
      <w:pPr>
        <w:pStyle w:val="186"/>
        <w:ind w:firstLine="480"/>
        <w:rPr>
          <w:rFonts w:ascii="宋体" w:hAnsi="宋体"/>
          <w:lang w:val="zh-CN"/>
        </w:rPr>
      </w:pPr>
      <w:r>
        <w:rPr>
          <w:rFonts w:hint="eastAsia" w:ascii="宋体" w:hAnsi="宋体"/>
          <w:lang w:val="zh-CN"/>
        </w:rPr>
        <w:t>通过该服务实现医疗机构检验报告数据实时上报，在审核医生审核通过后可通过该服务将检验报告信息推送至平台业务库。</w:t>
      </w:r>
    </w:p>
    <w:p w14:paraId="59DF00CD">
      <w:pPr>
        <w:pStyle w:val="7"/>
        <w:numPr>
          <w:ilvl w:val="4"/>
          <w:numId w:val="16"/>
        </w:numPr>
      </w:pPr>
      <w:r>
        <w:rPr>
          <w:rFonts w:hint="eastAsia"/>
        </w:rPr>
        <w:t>检验报告作废</w:t>
      </w:r>
    </w:p>
    <w:p w14:paraId="469338C7">
      <w:pPr>
        <w:pStyle w:val="186"/>
        <w:ind w:firstLine="480"/>
        <w:rPr>
          <w:rFonts w:ascii="宋体" w:hAnsi="宋体"/>
          <w:lang w:val="zh-CN"/>
        </w:rPr>
      </w:pPr>
      <w:r>
        <w:rPr>
          <w:rFonts w:hint="eastAsia" w:ascii="宋体" w:hAnsi="宋体"/>
          <w:lang w:val="zh-CN"/>
        </w:rPr>
        <w:t>通过该服务实现对已提交的检验报告的作废操作，当检验报告出现差错或变更的情况可通过该服务将原本已提交的检验报告进行作废后在重新提交。</w:t>
      </w:r>
    </w:p>
    <w:p w14:paraId="7417534D">
      <w:pPr>
        <w:pStyle w:val="7"/>
        <w:numPr>
          <w:ilvl w:val="4"/>
          <w:numId w:val="16"/>
        </w:numPr>
      </w:pPr>
      <w:r>
        <w:rPr>
          <w:rFonts w:hint="eastAsia"/>
        </w:rPr>
        <w:t>检查报告注册</w:t>
      </w:r>
    </w:p>
    <w:p w14:paraId="6599AF8E">
      <w:pPr>
        <w:pStyle w:val="186"/>
        <w:ind w:firstLine="480"/>
        <w:rPr>
          <w:rFonts w:ascii="宋体" w:hAnsi="宋体"/>
          <w:lang w:val="zh-CN"/>
        </w:rPr>
      </w:pPr>
      <w:r>
        <w:rPr>
          <w:rFonts w:hint="eastAsia" w:ascii="宋体" w:hAnsi="宋体"/>
          <w:lang w:val="zh-CN"/>
        </w:rPr>
        <w:t>通过该服务实现医疗机构检查报告数据实时上报，在审核医生审核通过后可通过该接口将检验报告信息推送至平台业务库。</w:t>
      </w:r>
    </w:p>
    <w:p w14:paraId="35924A28">
      <w:pPr>
        <w:pStyle w:val="7"/>
        <w:numPr>
          <w:ilvl w:val="4"/>
          <w:numId w:val="16"/>
        </w:numPr>
      </w:pPr>
      <w:r>
        <w:rPr>
          <w:rFonts w:hint="eastAsia"/>
        </w:rPr>
        <w:t>检查报告作废</w:t>
      </w:r>
    </w:p>
    <w:p w14:paraId="0C0165F6">
      <w:pPr>
        <w:pStyle w:val="186"/>
        <w:ind w:firstLine="480"/>
        <w:rPr>
          <w:rFonts w:ascii="宋体" w:hAnsi="宋体"/>
          <w:lang w:val="zh-CN"/>
        </w:rPr>
      </w:pPr>
      <w:r>
        <w:rPr>
          <w:rFonts w:hint="eastAsia" w:ascii="宋体" w:hAnsi="宋体"/>
          <w:lang w:val="zh-CN"/>
        </w:rPr>
        <w:t>通过该服务实现对已提交的检查报告的作废操作，当检查报告出现差错或变更的情况可通过该服务将原本已提交的检查报告进行作废后在重新提交。</w:t>
      </w:r>
    </w:p>
    <w:p w14:paraId="2365E5EB">
      <w:pPr>
        <w:pStyle w:val="7"/>
        <w:numPr>
          <w:ilvl w:val="4"/>
          <w:numId w:val="16"/>
        </w:numPr>
      </w:pPr>
      <w:r>
        <w:rPr>
          <w:rFonts w:hint="eastAsia"/>
        </w:rPr>
        <w:t>体检报告注册</w:t>
      </w:r>
    </w:p>
    <w:p w14:paraId="225325EC">
      <w:pPr>
        <w:pStyle w:val="186"/>
        <w:ind w:firstLine="480"/>
        <w:rPr>
          <w:rFonts w:ascii="宋体" w:hAnsi="宋体"/>
          <w:lang w:val="zh-CN"/>
        </w:rPr>
      </w:pPr>
      <w:r>
        <w:rPr>
          <w:rFonts w:hint="eastAsia" w:ascii="宋体" w:hAnsi="宋体"/>
          <w:lang w:val="zh-CN"/>
        </w:rPr>
        <w:t>通过该服务实现医疗机构体检报告数据实时上报，在审核医生审核通过后可通过该接口将体检报告信息推送至平台业务库。</w:t>
      </w:r>
    </w:p>
    <w:p w14:paraId="53939729">
      <w:pPr>
        <w:pStyle w:val="7"/>
        <w:numPr>
          <w:ilvl w:val="4"/>
          <w:numId w:val="16"/>
        </w:numPr>
      </w:pPr>
      <w:r>
        <w:rPr>
          <w:rFonts w:hint="eastAsia"/>
        </w:rPr>
        <w:t>体检报告作废</w:t>
      </w:r>
    </w:p>
    <w:p w14:paraId="1D14BAE7">
      <w:pPr>
        <w:pStyle w:val="186"/>
        <w:ind w:firstLine="480"/>
        <w:rPr>
          <w:rFonts w:ascii="宋体" w:hAnsi="宋体"/>
          <w:lang w:val="zh-CN"/>
        </w:rPr>
      </w:pPr>
      <w:r>
        <w:rPr>
          <w:rFonts w:hint="eastAsia" w:ascii="宋体" w:hAnsi="宋体"/>
          <w:lang w:val="zh-CN"/>
        </w:rPr>
        <w:t>通过该服务实现对已提交的体检报告的作废操作，当体检报告出现差错或变更的情况可通过该服务将原本已提交的体检报告进行作废后在重新提交。</w:t>
      </w:r>
    </w:p>
    <w:p w14:paraId="060B23DE">
      <w:pPr>
        <w:pStyle w:val="7"/>
        <w:numPr>
          <w:ilvl w:val="4"/>
          <w:numId w:val="16"/>
        </w:numPr>
      </w:pPr>
      <w:r>
        <w:rPr>
          <w:rFonts w:hint="eastAsia"/>
        </w:rPr>
        <w:t>检查检验体检日报上传</w:t>
      </w:r>
    </w:p>
    <w:p w14:paraId="148842CA">
      <w:pPr>
        <w:pStyle w:val="186"/>
        <w:ind w:firstLine="480"/>
        <w:rPr>
          <w:rFonts w:ascii="宋体" w:hAnsi="宋体"/>
          <w:lang w:val="zh-CN"/>
        </w:rPr>
      </w:pPr>
      <w:r>
        <w:rPr>
          <w:rFonts w:hint="eastAsia" w:ascii="宋体" w:hAnsi="宋体"/>
          <w:lang w:val="zh-CN"/>
        </w:rPr>
        <w:t>通过该服务每日定时（凌晨）提交前一天该医院审核提交的检查检验报告数量（按科室统计）和体检报告数量。</w:t>
      </w:r>
    </w:p>
    <w:p w14:paraId="5EF00481">
      <w:pPr>
        <w:pStyle w:val="7"/>
        <w:numPr>
          <w:ilvl w:val="4"/>
          <w:numId w:val="16"/>
        </w:numPr>
      </w:pPr>
      <w:r>
        <w:rPr>
          <w:rFonts w:hint="eastAsia"/>
        </w:rPr>
        <w:t>获取近期检查检验记录</w:t>
      </w:r>
    </w:p>
    <w:p w14:paraId="4809A631">
      <w:pPr>
        <w:pStyle w:val="186"/>
        <w:ind w:firstLine="480"/>
        <w:rPr>
          <w:rFonts w:ascii="宋体" w:hAnsi="宋体"/>
          <w:lang w:val="zh-CN"/>
        </w:rPr>
      </w:pPr>
      <w:r>
        <w:rPr>
          <w:rFonts w:hint="eastAsia" w:ascii="宋体" w:hAnsi="宋体"/>
          <w:lang w:val="zh-CN"/>
        </w:rPr>
        <w:t>在患者就诊插卡（识读身份）时通过该服务预加载患者近期（90天或30天内）在乌拉特前旗二级及以上医疗机构的检查检验记录，如存在近期记录，医生开单前需提醒预加载的患者近期检查检验记录。并用 HR 标记出检查可互认项目，检验结果互认项目需打开详情查看。</w:t>
      </w:r>
    </w:p>
    <w:p w14:paraId="19964679">
      <w:pPr>
        <w:pStyle w:val="7"/>
        <w:numPr>
          <w:ilvl w:val="4"/>
          <w:numId w:val="16"/>
        </w:numPr>
      </w:pPr>
      <w:r>
        <w:rPr>
          <w:rFonts w:hint="eastAsia"/>
        </w:rPr>
        <w:t>获取近期互认项目明细信息</w:t>
      </w:r>
    </w:p>
    <w:p w14:paraId="369CB7B8">
      <w:pPr>
        <w:pStyle w:val="186"/>
        <w:ind w:firstLine="480"/>
        <w:rPr>
          <w:rFonts w:ascii="宋体" w:hAnsi="宋体"/>
          <w:lang w:val="zh-CN"/>
        </w:rPr>
      </w:pPr>
      <w:r>
        <w:rPr>
          <w:rFonts w:hint="eastAsia" w:ascii="宋体" w:hAnsi="宋体"/>
          <w:lang w:val="zh-CN"/>
        </w:rPr>
        <w:t>在患者就诊需要开检查检验项目时，医生进入开单界面时可以通过该服务预加载诊患者近期在乌拉特前旗二级及以上医疗机构的可互认的检查检验报告明细数据至院内存储。并在医生开出项目时由院内判断所开项目中是否存在互认项目，存在则弹窗提醒。</w:t>
      </w:r>
    </w:p>
    <w:p w14:paraId="36636755">
      <w:pPr>
        <w:pStyle w:val="7"/>
        <w:numPr>
          <w:ilvl w:val="4"/>
          <w:numId w:val="16"/>
        </w:numPr>
      </w:pPr>
      <w:r>
        <w:rPr>
          <w:rFonts w:hint="eastAsia"/>
        </w:rPr>
        <w:t>获取近期可互认项目记录</w:t>
      </w:r>
    </w:p>
    <w:p w14:paraId="45B2A396">
      <w:pPr>
        <w:pStyle w:val="186"/>
        <w:ind w:firstLine="480"/>
        <w:rPr>
          <w:rFonts w:ascii="宋体" w:hAnsi="宋体"/>
          <w:lang w:val="zh-CN"/>
        </w:rPr>
      </w:pPr>
      <w:r>
        <w:rPr>
          <w:rFonts w:hint="eastAsia" w:ascii="宋体" w:hAnsi="宋体"/>
          <w:lang w:val="zh-CN"/>
        </w:rPr>
        <w:t>医生开单时可以通过该服务获取开单项目中就诊患者近期（90天或30天内）在乌拉特前旗二级及以上医疗机构的可互认的检查检验记录。</w:t>
      </w:r>
    </w:p>
    <w:p w14:paraId="446F1EB4">
      <w:pPr>
        <w:pStyle w:val="7"/>
        <w:numPr>
          <w:ilvl w:val="4"/>
          <w:numId w:val="16"/>
        </w:numPr>
      </w:pPr>
      <w:r>
        <w:rPr>
          <w:rFonts w:hint="eastAsia"/>
        </w:rPr>
        <w:t>提交检查检验互认结果</w:t>
      </w:r>
    </w:p>
    <w:p w14:paraId="78B66826">
      <w:pPr>
        <w:pStyle w:val="186"/>
        <w:ind w:firstLine="480"/>
        <w:rPr>
          <w:rFonts w:ascii="宋体" w:hAnsi="宋体"/>
          <w:lang w:val="zh-CN"/>
        </w:rPr>
      </w:pPr>
      <w:r>
        <w:rPr>
          <w:rFonts w:hint="eastAsia" w:ascii="宋体" w:hAnsi="宋体"/>
          <w:lang w:val="zh-CN"/>
        </w:rPr>
        <w:t>通过该服务提交医生互认（勾选）的检查检验结果，检查和检验各操作一次勾选是否互认，如存在不互认项目则需勾选不互认理由。</w:t>
      </w:r>
    </w:p>
    <w:p w14:paraId="3B80087D">
      <w:pPr>
        <w:pStyle w:val="7"/>
        <w:numPr>
          <w:ilvl w:val="4"/>
          <w:numId w:val="16"/>
        </w:numPr>
      </w:pPr>
      <w:r>
        <w:rPr>
          <w:rFonts w:hint="eastAsia"/>
        </w:rPr>
        <w:t>检验报告结果引用</w:t>
      </w:r>
    </w:p>
    <w:p w14:paraId="6DC6C334">
      <w:pPr>
        <w:pStyle w:val="186"/>
        <w:ind w:firstLine="480"/>
        <w:rPr>
          <w:rFonts w:ascii="宋体" w:hAnsi="宋体"/>
          <w:lang w:val="zh-CN"/>
        </w:rPr>
      </w:pPr>
      <w:r>
        <w:rPr>
          <w:rFonts w:hint="eastAsia" w:ascii="宋体" w:hAnsi="宋体"/>
          <w:lang w:val="zh-CN"/>
        </w:rPr>
        <w:t>在医生书写病历时可通过该服务获取认可的检验项目结果引用至病历中。并可通过返回值中的pdf_url地址下载检查检验报告原始单据pdf到院内留存。且需记录引用项目及科室和医生信息，后续需通过平台提供定时/定频提交引用结果接口将引用记录推送至业务库。</w:t>
      </w:r>
    </w:p>
    <w:p w14:paraId="4F2A10E5">
      <w:pPr>
        <w:pStyle w:val="7"/>
        <w:numPr>
          <w:ilvl w:val="4"/>
          <w:numId w:val="16"/>
        </w:numPr>
      </w:pPr>
      <w:r>
        <w:rPr>
          <w:rFonts w:hint="eastAsia"/>
        </w:rPr>
        <w:t>检查报告结果引用</w:t>
      </w:r>
    </w:p>
    <w:p w14:paraId="29D504EB">
      <w:pPr>
        <w:pStyle w:val="186"/>
        <w:ind w:firstLine="480"/>
        <w:rPr>
          <w:rFonts w:ascii="宋体" w:hAnsi="宋体"/>
          <w:lang w:val="zh-CN"/>
        </w:rPr>
      </w:pPr>
      <w:r>
        <w:rPr>
          <w:rFonts w:hint="eastAsia" w:ascii="宋体" w:hAnsi="宋体"/>
          <w:lang w:val="zh-CN"/>
        </w:rPr>
        <w:t>在医生书写病历时可通过该服务获取认可的检查项目结果引用至病历中。并可通过返回值中的pdf_url地址下载检查检验报告原始单据pdf到院内留存。且需记录引用项目及科室和医生信息，后续需通过平台提供定时/定频提交引用结果接口将引用记录推送至业务库。</w:t>
      </w:r>
    </w:p>
    <w:p w14:paraId="5C4A089A">
      <w:pPr>
        <w:pStyle w:val="7"/>
        <w:numPr>
          <w:ilvl w:val="4"/>
          <w:numId w:val="16"/>
        </w:numPr>
      </w:pPr>
      <w:r>
        <w:rPr>
          <w:rFonts w:hint="eastAsia"/>
        </w:rPr>
        <w:t>定时/定频提交互认结果</w:t>
      </w:r>
    </w:p>
    <w:p w14:paraId="0B37AFE3">
      <w:pPr>
        <w:pStyle w:val="186"/>
        <w:ind w:firstLine="480"/>
        <w:rPr>
          <w:rFonts w:ascii="宋体" w:hAnsi="宋体"/>
          <w:lang w:val="zh-CN"/>
        </w:rPr>
      </w:pPr>
      <w:r>
        <w:rPr>
          <w:rFonts w:hint="eastAsia" w:ascii="宋体" w:hAnsi="宋体"/>
          <w:lang w:val="zh-CN"/>
        </w:rPr>
        <w:t>通过该服务将医生开单时勾选的采纳和不采纳的项目及理由的结果推送至平台业务库。</w:t>
      </w:r>
    </w:p>
    <w:p w14:paraId="744EC51D">
      <w:pPr>
        <w:pStyle w:val="7"/>
        <w:numPr>
          <w:ilvl w:val="4"/>
          <w:numId w:val="16"/>
        </w:numPr>
      </w:pPr>
      <w:r>
        <w:rPr>
          <w:rFonts w:hint="eastAsia"/>
        </w:rPr>
        <w:t>定时/定频提交引用结果</w:t>
      </w:r>
    </w:p>
    <w:p w14:paraId="2AAAA218">
      <w:pPr>
        <w:pStyle w:val="186"/>
        <w:ind w:firstLine="480"/>
        <w:rPr>
          <w:rFonts w:ascii="宋体" w:hAnsi="宋体"/>
          <w:lang w:val="zh-CN"/>
        </w:rPr>
      </w:pPr>
      <w:r>
        <w:rPr>
          <w:rFonts w:hint="eastAsia" w:ascii="宋体" w:hAnsi="宋体"/>
          <w:lang w:val="zh-CN"/>
        </w:rPr>
        <w:t>通过该服务将医生书写病历时引用的记录结果推送至平台业务库。</w:t>
      </w:r>
    </w:p>
    <w:bookmarkEnd w:id="437"/>
    <w:bookmarkEnd w:id="438"/>
    <w:p w14:paraId="686E789C">
      <w:pPr>
        <w:pStyle w:val="6"/>
        <w:numPr>
          <w:ilvl w:val="3"/>
          <w:numId w:val="16"/>
        </w:numPr>
      </w:pPr>
      <w:bookmarkStart w:id="441" w:name="_Toc174458967"/>
      <w:bookmarkStart w:id="442" w:name="_Toc164957184"/>
      <w:bookmarkStart w:id="443" w:name="_Toc164957180"/>
      <w:r>
        <w:rPr>
          <w:rFonts w:hint="eastAsia"/>
        </w:rPr>
        <w:t>互认监管系统</w:t>
      </w:r>
      <w:bookmarkEnd w:id="441"/>
      <w:bookmarkEnd w:id="442"/>
    </w:p>
    <w:p w14:paraId="726DC144">
      <w:pPr>
        <w:pStyle w:val="3"/>
      </w:pPr>
      <w:r>
        <w:rPr>
          <w:rFonts w:hint="eastAsia" w:asciiTheme="minorEastAsia" w:hAnsiTheme="minorEastAsia" w:eastAsiaTheme="minorEastAsia"/>
        </w:rPr>
        <w:t>具备支持以下功能：</w:t>
      </w:r>
    </w:p>
    <w:p w14:paraId="4F4AEA39">
      <w:pPr>
        <w:pStyle w:val="7"/>
        <w:numPr>
          <w:ilvl w:val="4"/>
          <w:numId w:val="16"/>
        </w:numPr>
      </w:pPr>
      <w:r>
        <w:rPr>
          <w:rFonts w:hint="eastAsia"/>
        </w:rPr>
        <w:t>基础管理</w:t>
      </w:r>
    </w:p>
    <w:p w14:paraId="25179602">
      <w:pPr>
        <w:pStyle w:val="3"/>
      </w:pPr>
      <w:r>
        <w:rPr>
          <w:rFonts w:hint="eastAsia"/>
        </w:rPr>
        <w:t>具体实现机构管理、区划管理、用户管理、字典管理、权限管理</w:t>
      </w:r>
    </w:p>
    <w:p w14:paraId="53A07A51">
      <w:pPr>
        <w:pStyle w:val="7"/>
        <w:numPr>
          <w:ilvl w:val="4"/>
          <w:numId w:val="16"/>
        </w:numPr>
      </w:pPr>
      <w:r>
        <w:rPr>
          <w:rFonts w:hint="eastAsia"/>
        </w:rPr>
        <w:t>系统配置管理</w:t>
      </w:r>
    </w:p>
    <w:p w14:paraId="471EA249">
      <w:pPr>
        <w:pStyle w:val="8"/>
        <w:numPr>
          <w:ilvl w:val="5"/>
          <w:numId w:val="16"/>
        </w:numPr>
      </w:pPr>
      <w:r>
        <w:rPr>
          <w:rFonts w:hint="eastAsia"/>
        </w:rPr>
        <w:t>系统菜单管理</w:t>
      </w:r>
    </w:p>
    <w:p w14:paraId="4A675778">
      <w:pPr>
        <w:pStyle w:val="106"/>
        <w:ind w:firstLine="480"/>
      </w:pPr>
      <w:r>
        <w:rPr>
          <w:rFonts w:hint="eastAsia"/>
        </w:rPr>
        <w:t>系统菜单管理，是提供对互认监管平台系统菜单的维护功能，包含菜单的名称、菜单父节点、指向的页面地址、菜单的排序以及菜单的启停操作等管理。</w:t>
      </w:r>
    </w:p>
    <w:p w14:paraId="6F6957F4">
      <w:pPr>
        <w:pStyle w:val="8"/>
        <w:numPr>
          <w:ilvl w:val="5"/>
          <w:numId w:val="16"/>
        </w:numPr>
      </w:pPr>
      <w:r>
        <w:rPr>
          <w:rFonts w:hint="eastAsia"/>
        </w:rPr>
        <w:t>菜单授权管理</w:t>
      </w:r>
    </w:p>
    <w:p w14:paraId="3592499A">
      <w:pPr>
        <w:pStyle w:val="106"/>
        <w:ind w:firstLine="480"/>
      </w:pPr>
      <w:r>
        <w:rPr>
          <w:rFonts w:hint="eastAsia"/>
        </w:rPr>
        <w:t>菜单权限管理，是对平台注册的监管部门或医疗机构用户进行菜单访问权限的分配和管理，只有授权的菜单才能访问。</w:t>
      </w:r>
    </w:p>
    <w:p w14:paraId="391DB483">
      <w:pPr>
        <w:pStyle w:val="7"/>
        <w:numPr>
          <w:ilvl w:val="4"/>
          <w:numId w:val="16"/>
        </w:numPr>
      </w:pPr>
      <w:r>
        <w:rPr>
          <w:rFonts w:hint="eastAsia"/>
        </w:rPr>
        <w:t>安全审计管理</w:t>
      </w:r>
    </w:p>
    <w:p w14:paraId="1751076B">
      <w:pPr>
        <w:pStyle w:val="8"/>
        <w:numPr>
          <w:ilvl w:val="5"/>
          <w:numId w:val="16"/>
        </w:numPr>
      </w:pPr>
      <w:r>
        <w:rPr>
          <w:rFonts w:hint="eastAsia"/>
        </w:rPr>
        <w:t>登录日志管理</w:t>
      </w:r>
    </w:p>
    <w:p w14:paraId="704E0123">
      <w:pPr>
        <w:pStyle w:val="106"/>
        <w:ind w:firstLine="480"/>
      </w:pPr>
      <w:r>
        <w:rPr>
          <w:rFonts w:hint="eastAsia"/>
        </w:rPr>
        <w:t>登录日志管理，是用户在登录系统的同时生成登录日志，同时显示登录机构名称、用户名称、IP地址、登录时间、退出时间，并可以下钻查询本次登录的所有操作记录。同时支持对登录信息的检索功能。方便后期对用户进行追踪统计管理。</w:t>
      </w:r>
    </w:p>
    <w:p w14:paraId="0B643F28">
      <w:pPr>
        <w:pStyle w:val="8"/>
        <w:numPr>
          <w:ilvl w:val="5"/>
          <w:numId w:val="16"/>
        </w:numPr>
      </w:pPr>
      <w:r>
        <w:rPr>
          <w:rFonts w:hint="eastAsia"/>
        </w:rPr>
        <w:t>操作日志管理</w:t>
      </w:r>
    </w:p>
    <w:p w14:paraId="074E355D">
      <w:pPr>
        <w:pStyle w:val="106"/>
        <w:ind w:firstLine="480"/>
      </w:pPr>
      <w:r>
        <w:rPr>
          <w:rFonts w:hint="eastAsia"/>
        </w:rPr>
        <w:t>操作日志主要记录用户对各模块的功能操作，包括系统功能模块的增、删、改、查操作的监控记录，同样支持对操作日志的检索功能，方便后期对用户进行操作追溯统计。</w:t>
      </w:r>
    </w:p>
    <w:p w14:paraId="4A289E4F">
      <w:pPr>
        <w:pStyle w:val="7"/>
        <w:numPr>
          <w:ilvl w:val="4"/>
          <w:numId w:val="16"/>
        </w:numPr>
      </w:pPr>
      <w:r>
        <w:rPr>
          <w:rFonts w:hint="eastAsia"/>
        </w:rPr>
        <w:t>数据上传监测</w:t>
      </w:r>
    </w:p>
    <w:p w14:paraId="4519D8ED">
      <w:pPr>
        <w:pStyle w:val="8"/>
        <w:numPr>
          <w:ilvl w:val="5"/>
          <w:numId w:val="16"/>
        </w:numPr>
      </w:pPr>
      <w:r>
        <w:rPr>
          <w:rFonts w:hint="eastAsia"/>
        </w:rPr>
        <w:t>上传质量监测</w:t>
      </w:r>
    </w:p>
    <w:p w14:paraId="1A0493CF">
      <w:pPr>
        <w:pStyle w:val="106"/>
        <w:ind w:firstLine="480"/>
        <w:rPr>
          <w:lang w:val="zh-CN"/>
        </w:rPr>
      </w:pPr>
      <w:r>
        <w:rPr>
          <w:rFonts w:hint="eastAsia"/>
          <w:lang w:val="zh-CN"/>
        </w:rPr>
        <w:t>以时间、区域、医疗机构为维度，对各医疗机构上传的检查检验报告进行统计分析，对各医疗机构对接情况、数据接入及质量情况进行分析监管。并支持导出excel报告。</w:t>
      </w:r>
    </w:p>
    <w:p w14:paraId="45964295">
      <w:pPr>
        <w:pStyle w:val="8"/>
        <w:numPr>
          <w:ilvl w:val="5"/>
          <w:numId w:val="16"/>
        </w:numPr>
      </w:pPr>
      <w:r>
        <w:rPr>
          <w:rFonts w:hint="eastAsia"/>
        </w:rPr>
        <w:t>检查</w:t>
      </w:r>
      <w:r>
        <w:t>数据情况质量监测</w:t>
      </w:r>
    </w:p>
    <w:p w14:paraId="2F3ADCEE">
      <w:pPr>
        <w:pStyle w:val="106"/>
        <w:ind w:firstLine="480"/>
        <w:rPr>
          <w:lang w:val="zh-CN"/>
        </w:rPr>
      </w:pPr>
      <w:r>
        <w:rPr>
          <w:rFonts w:hint="eastAsia"/>
          <w:lang w:val="zh-CN"/>
        </w:rPr>
        <w:t>检查数据情况质量监测内容包括日报数、日均检查人次、报告数、报告数/日报数的比例、细项数、互认项数、互认项比、互认项覆盖率、pdf数、pdf数/报告数。</w:t>
      </w:r>
    </w:p>
    <w:p w14:paraId="2927FE93">
      <w:pPr>
        <w:pStyle w:val="8"/>
        <w:numPr>
          <w:ilvl w:val="5"/>
          <w:numId w:val="16"/>
        </w:numPr>
      </w:pPr>
      <w:r>
        <w:rPr>
          <w:rFonts w:hint="eastAsia"/>
        </w:rPr>
        <w:t>检验</w:t>
      </w:r>
      <w:r>
        <w:t>数据情况质量</w:t>
      </w:r>
      <w:r>
        <w:rPr>
          <w:rFonts w:hint="eastAsia"/>
        </w:rPr>
        <w:t>监测</w:t>
      </w:r>
    </w:p>
    <w:p w14:paraId="3C55BB22">
      <w:pPr>
        <w:pStyle w:val="106"/>
        <w:ind w:firstLine="480"/>
        <w:rPr>
          <w:lang w:val="zh-CN"/>
        </w:rPr>
      </w:pPr>
      <w:r>
        <w:rPr>
          <w:rFonts w:hint="eastAsia"/>
          <w:lang w:val="zh-CN"/>
        </w:rPr>
        <w:t>检验数据情况质量监测内容包括日报数、日均检验人次、报告数、报告数/日报数的比例、细项数、互认项数、互认项比、互认项覆盖率、pdf数、pdf数/报告数。</w:t>
      </w:r>
    </w:p>
    <w:p w14:paraId="7F0B001F">
      <w:pPr>
        <w:pStyle w:val="7"/>
        <w:numPr>
          <w:ilvl w:val="4"/>
          <w:numId w:val="16"/>
        </w:numPr>
      </w:pPr>
      <w:r>
        <w:rPr>
          <w:rFonts w:hint="eastAsia"/>
        </w:rPr>
        <w:t>互认引用情况监测</w:t>
      </w:r>
    </w:p>
    <w:p w14:paraId="4E8BD20F">
      <w:pPr>
        <w:pStyle w:val="8"/>
        <w:numPr>
          <w:ilvl w:val="5"/>
          <w:numId w:val="16"/>
        </w:numPr>
      </w:pPr>
      <w:r>
        <w:rPr>
          <w:rFonts w:hint="eastAsia"/>
        </w:rPr>
        <w:t>互认</w:t>
      </w:r>
      <w:r>
        <w:t>引用</w:t>
      </w:r>
      <w:r>
        <w:rPr>
          <w:rFonts w:hint="eastAsia"/>
        </w:rPr>
        <w:t>数</w:t>
      </w:r>
      <w:r>
        <w:t>情况</w:t>
      </w:r>
    </w:p>
    <w:p w14:paraId="00AD206C">
      <w:pPr>
        <w:pStyle w:val="106"/>
        <w:ind w:firstLine="480"/>
        <w:rPr>
          <w:lang w:val="zh-CN"/>
        </w:rPr>
      </w:pPr>
      <w:r>
        <w:rPr>
          <w:rFonts w:hint="eastAsia"/>
          <w:lang w:val="zh-CN"/>
        </w:rPr>
        <w:t>以时间、医疗机构为维度，对各医疗机构引用检验检查记录进行统计分析，内容主要是引用数情况。并可通过下钻对互认或不互认项目的来源医疗机构的分布情况进行分析。</w:t>
      </w:r>
    </w:p>
    <w:p w14:paraId="79D02D9D">
      <w:pPr>
        <w:pStyle w:val="8"/>
        <w:numPr>
          <w:ilvl w:val="5"/>
          <w:numId w:val="16"/>
        </w:numPr>
      </w:pPr>
      <w:r>
        <w:rPr>
          <w:rFonts w:hint="eastAsia"/>
        </w:rPr>
        <w:t>查看引用</w:t>
      </w:r>
      <w:r>
        <w:t>情况</w:t>
      </w:r>
    </w:p>
    <w:p w14:paraId="4D91F385">
      <w:pPr>
        <w:pStyle w:val="106"/>
        <w:ind w:firstLine="480"/>
        <w:rPr>
          <w:lang w:val="zh-CN"/>
        </w:rPr>
      </w:pPr>
      <w:r>
        <w:rPr>
          <w:rFonts w:hint="eastAsia"/>
          <w:lang w:val="zh-CN"/>
        </w:rPr>
        <w:t>某份检验检查记录被引用时，系统支持显示具体被哪些医疗机构引用，引用次数，还可以下钻查询具体引用情况，包括：被引用机构名称、报告名称、报告日期、项目名称、患者姓名、引用科室、引用医生、引用日期等。</w:t>
      </w:r>
    </w:p>
    <w:p w14:paraId="0A05704A">
      <w:pPr>
        <w:pStyle w:val="7"/>
        <w:numPr>
          <w:ilvl w:val="4"/>
          <w:numId w:val="16"/>
        </w:numPr>
      </w:pPr>
      <w:r>
        <w:rPr>
          <w:rFonts w:hint="eastAsia"/>
        </w:rPr>
        <w:t>提醒服务</w:t>
      </w:r>
    </w:p>
    <w:p w14:paraId="0FDE8A4D">
      <w:pPr>
        <w:pStyle w:val="8"/>
        <w:numPr>
          <w:ilvl w:val="5"/>
          <w:numId w:val="16"/>
        </w:numPr>
      </w:pPr>
      <w:r>
        <w:rPr>
          <w:rFonts w:hint="eastAsia"/>
        </w:rPr>
        <w:t>变更提醒</w:t>
      </w:r>
    </w:p>
    <w:p w14:paraId="49BC3D05">
      <w:pPr>
        <w:pStyle w:val="106"/>
        <w:ind w:firstLine="480"/>
        <w:rPr>
          <w:lang w:val="zh-CN"/>
        </w:rPr>
      </w:pPr>
      <w:r>
        <w:rPr>
          <w:rFonts w:hint="eastAsia"/>
          <w:lang w:val="zh-CN"/>
        </w:rPr>
        <w:t>当出现已互认或引用的报告被原有医疗机构变更时，会浮窗主动提醒该医院及时进行处理。变更提醒的内容包括：报告类型、医院、姓名、报告时间、报告名称、操作类型、操作时间。</w:t>
      </w:r>
    </w:p>
    <w:p w14:paraId="0B37AA0D">
      <w:pPr>
        <w:pStyle w:val="8"/>
        <w:numPr>
          <w:ilvl w:val="5"/>
          <w:numId w:val="16"/>
        </w:numPr>
      </w:pPr>
      <w:r>
        <w:rPr>
          <w:rFonts w:hint="eastAsia"/>
        </w:rPr>
        <w:t>作废提醒</w:t>
      </w:r>
    </w:p>
    <w:p w14:paraId="29617232">
      <w:pPr>
        <w:pStyle w:val="106"/>
        <w:ind w:firstLine="480"/>
        <w:rPr>
          <w:lang w:val="zh-CN"/>
        </w:rPr>
      </w:pPr>
      <w:r>
        <w:rPr>
          <w:rFonts w:hint="eastAsia"/>
          <w:lang w:val="zh-CN"/>
        </w:rPr>
        <w:t>当出现已互认或引用的报告被原有医疗机构作废时，会浮窗主动提醒该医院及时进行处理。</w:t>
      </w:r>
    </w:p>
    <w:p w14:paraId="38F5F849">
      <w:pPr>
        <w:pStyle w:val="7"/>
        <w:numPr>
          <w:ilvl w:val="4"/>
          <w:numId w:val="16"/>
        </w:numPr>
      </w:pPr>
      <w:r>
        <w:rPr>
          <w:rFonts w:hint="eastAsia"/>
        </w:rPr>
        <w:t>综合管理报表</w:t>
      </w:r>
    </w:p>
    <w:p w14:paraId="1A47D604">
      <w:pPr>
        <w:pStyle w:val="3"/>
      </w:pPr>
      <w:r>
        <w:rPr>
          <w:rFonts w:hint="eastAsia"/>
        </w:rPr>
        <w:t>提供检查检验互认报表服务，具体包括预加载统计报表、不互认细项数报表、不互认细项数汇总</w:t>
      </w:r>
      <w:r>
        <w:t>首页</w:t>
      </w:r>
      <w:r>
        <w:rPr>
          <w:rFonts w:hint="eastAsia"/>
        </w:rPr>
        <w:t>、不互认</w:t>
      </w:r>
      <w:r>
        <w:t>细项数（</w:t>
      </w:r>
      <w:r>
        <w:rPr>
          <w:rFonts w:hint="eastAsia"/>
        </w:rPr>
        <w:t>按</w:t>
      </w:r>
      <w:r>
        <w:t>科室）</w:t>
      </w:r>
      <w:r>
        <w:rPr>
          <w:rFonts w:hint="eastAsia"/>
        </w:rPr>
        <w:t>、不互认</w:t>
      </w:r>
      <w:r>
        <w:t>细项数（</w:t>
      </w:r>
      <w:r>
        <w:rPr>
          <w:rFonts w:hint="eastAsia"/>
        </w:rPr>
        <w:t>按医生</w:t>
      </w:r>
      <w:r>
        <w:t>）</w:t>
      </w:r>
      <w:r>
        <w:rPr>
          <w:rFonts w:hint="eastAsia"/>
        </w:rPr>
        <w:t>、不互认</w:t>
      </w:r>
      <w:r>
        <w:t>细项</w:t>
      </w:r>
      <w:r>
        <w:rPr>
          <w:rFonts w:hint="eastAsia"/>
        </w:rPr>
        <w:t>数、不互认</w:t>
      </w:r>
      <w:r>
        <w:t>细项</w:t>
      </w:r>
      <w:r>
        <w:rPr>
          <w:rFonts w:hint="eastAsia"/>
        </w:rPr>
        <w:t>数（医院</w:t>
      </w:r>
      <w:r>
        <w:t>反馈</w:t>
      </w:r>
      <w:r>
        <w:rPr>
          <w:rFonts w:hint="eastAsia"/>
        </w:rPr>
        <w:t>）、不互认细项数排行、检查互认项报表、检验互认项报表、报告查询。</w:t>
      </w:r>
    </w:p>
    <w:p w14:paraId="7B229273">
      <w:pPr>
        <w:pStyle w:val="7"/>
        <w:numPr>
          <w:ilvl w:val="4"/>
          <w:numId w:val="16"/>
        </w:numPr>
      </w:pPr>
      <w:r>
        <w:rPr>
          <w:rFonts w:hint="eastAsia"/>
        </w:rPr>
        <w:t>日志统计分析</w:t>
      </w:r>
    </w:p>
    <w:p w14:paraId="573F5A96">
      <w:pPr>
        <w:pStyle w:val="106"/>
        <w:ind w:firstLine="480"/>
        <w:rPr>
          <w:lang w:val="zh-CN"/>
        </w:rPr>
      </w:pPr>
      <w:r>
        <w:rPr>
          <w:rFonts w:hint="eastAsia"/>
          <w:lang w:val="zh-CN"/>
        </w:rPr>
        <w:t>通过接口日志分析可对各医疗机构调阅平台接口进行统计分析，记录正常和异常的调阅日志，并可查看入参和出参详情。</w:t>
      </w:r>
    </w:p>
    <w:p w14:paraId="24F761B7">
      <w:pPr>
        <w:pStyle w:val="6"/>
        <w:numPr>
          <w:ilvl w:val="3"/>
          <w:numId w:val="16"/>
        </w:numPr>
      </w:pPr>
      <w:bookmarkStart w:id="444" w:name="_Toc164957185"/>
      <w:bookmarkStart w:id="445" w:name="_Toc174458968"/>
      <w:r>
        <w:rPr>
          <w:rFonts w:hint="eastAsia"/>
        </w:rPr>
        <w:t>互认综合大屏</w:t>
      </w:r>
      <w:bookmarkEnd w:id="444"/>
      <w:bookmarkEnd w:id="445"/>
    </w:p>
    <w:p w14:paraId="3EF9AD33">
      <w:pPr>
        <w:pStyle w:val="3"/>
      </w:pPr>
      <w:r>
        <w:rPr>
          <w:rFonts w:hint="eastAsia" w:asciiTheme="minorEastAsia" w:hAnsiTheme="minorEastAsia" w:eastAsiaTheme="minorEastAsia"/>
        </w:rPr>
        <w:t>具备支持以下功能：</w:t>
      </w:r>
    </w:p>
    <w:p w14:paraId="78E32132">
      <w:pPr>
        <w:pStyle w:val="106"/>
        <w:ind w:firstLine="480"/>
        <w:rPr>
          <w:lang w:val="zh-CN"/>
        </w:rPr>
      </w:pPr>
      <w:r>
        <w:rPr>
          <w:rFonts w:hint="eastAsia"/>
          <w:lang w:val="zh-CN"/>
        </w:rPr>
        <w:t>利用大数据、商业智能（BI）、数据分析等技术，对乌拉特前旗检查检验互认数据进行监管分析。横向覆盖乌拉特前旗所有的医疗机构、纵向分析各医疗机构的检查检验互认情况。大屏以各类动态图形直观展示不同维度的互认情况，让管理人员实时掌握检查检验互认工作开展情况，提供有力的决策数据支撑。</w:t>
      </w:r>
    </w:p>
    <w:p w14:paraId="2CFB7DB4">
      <w:pPr>
        <w:pStyle w:val="106"/>
        <w:ind w:firstLine="480"/>
      </w:pPr>
      <w:r>
        <w:rPr>
          <w:rFonts w:hint="eastAsia"/>
          <w:lang w:val="zh-CN"/>
        </w:rPr>
        <w:t>具体包括</w:t>
      </w:r>
      <w:r>
        <w:rPr>
          <w:rFonts w:hint="eastAsia"/>
        </w:rPr>
        <w:t>检验检查互认综合大屏首页、累计统计维度分析、当月互认率医院排行、互认率排行、医疗机构接入覆盖情况、互认项目排行、近14天互认趋势、</w:t>
      </w:r>
    </w:p>
    <w:p w14:paraId="141632AB">
      <w:pPr>
        <w:pStyle w:val="6"/>
        <w:numPr>
          <w:ilvl w:val="3"/>
          <w:numId w:val="16"/>
        </w:numPr>
      </w:pPr>
      <w:bookmarkStart w:id="446" w:name="_Toc164957186"/>
      <w:bookmarkStart w:id="447" w:name="_Toc174458969"/>
      <w:r>
        <w:rPr>
          <w:rFonts w:hint="eastAsia"/>
        </w:rPr>
        <w:t>医疗机构对接</w:t>
      </w:r>
      <w:bookmarkEnd w:id="446"/>
      <w:bookmarkEnd w:id="447"/>
    </w:p>
    <w:p w14:paraId="345691DF">
      <w:pPr>
        <w:pStyle w:val="3"/>
      </w:pPr>
      <w:r>
        <w:rPr>
          <w:rFonts w:hint="eastAsia" w:asciiTheme="minorEastAsia" w:hAnsiTheme="minorEastAsia" w:eastAsiaTheme="minorEastAsia"/>
        </w:rPr>
        <w:t>具备支持以下功能：</w:t>
      </w:r>
    </w:p>
    <w:p w14:paraId="7A4DE1B1">
      <w:pPr>
        <w:pStyle w:val="7"/>
        <w:numPr>
          <w:ilvl w:val="4"/>
          <w:numId w:val="16"/>
        </w:numPr>
      </w:pPr>
      <w:r>
        <w:rPr>
          <w:rFonts w:hint="eastAsia"/>
        </w:rPr>
        <w:t>标准规范解读和答疑</w:t>
      </w:r>
    </w:p>
    <w:p w14:paraId="0D56AC87">
      <w:pPr>
        <w:pStyle w:val="70"/>
        <w:numPr>
          <w:ilvl w:val="0"/>
          <w:numId w:val="43"/>
        </w:numPr>
        <w:ind w:left="0" w:firstLine="480"/>
        <w:jc w:val="left"/>
        <w:rPr>
          <w:lang w:val="zh-CN"/>
        </w:rPr>
      </w:pPr>
      <w:r>
        <w:rPr>
          <w:rFonts w:hint="eastAsia"/>
          <w:lang w:val="zh-CN"/>
        </w:rPr>
        <w:t>根据引用检查检验报告的不同方式，指导医院选择合适的流程改造；</w:t>
      </w:r>
    </w:p>
    <w:p w14:paraId="6EE41803">
      <w:pPr>
        <w:pStyle w:val="70"/>
        <w:numPr>
          <w:ilvl w:val="0"/>
          <w:numId w:val="43"/>
        </w:numPr>
        <w:ind w:left="0" w:firstLine="480"/>
        <w:jc w:val="left"/>
        <w:rPr>
          <w:lang w:val="zh-CN"/>
        </w:rPr>
      </w:pPr>
      <w:r>
        <w:rPr>
          <w:rFonts w:hint="eastAsia"/>
          <w:lang w:val="zh-CN"/>
        </w:rPr>
        <w:t>解读接入检查检验平台的管理规范和业务规范及相关流程等；</w:t>
      </w:r>
    </w:p>
    <w:p w14:paraId="7929F83A">
      <w:pPr>
        <w:pStyle w:val="70"/>
        <w:numPr>
          <w:ilvl w:val="0"/>
          <w:numId w:val="43"/>
        </w:numPr>
        <w:ind w:left="0" w:firstLine="480"/>
        <w:jc w:val="left"/>
        <w:rPr>
          <w:lang w:val="zh-CN"/>
        </w:rPr>
      </w:pPr>
      <w:r>
        <w:rPr>
          <w:rFonts w:hint="eastAsia"/>
          <w:lang w:val="zh-CN"/>
        </w:rPr>
        <w:t>配合医院完成检查互认标准项目对照改造；</w:t>
      </w:r>
    </w:p>
    <w:p w14:paraId="2F86D2DF">
      <w:pPr>
        <w:pStyle w:val="70"/>
        <w:numPr>
          <w:ilvl w:val="0"/>
          <w:numId w:val="43"/>
        </w:numPr>
        <w:ind w:left="0" w:firstLine="480"/>
        <w:jc w:val="left"/>
        <w:rPr>
          <w:lang w:val="zh-CN"/>
        </w:rPr>
      </w:pPr>
      <w:r>
        <w:rPr>
          <w:rFonts w:hint="eastAsia"/>
          <w:lang w:val="zh-CN"/>
        </w:rPr>
        <w:t>配合医院完成检验互认标准项目对照改造。</w:t>
      </w:r>
    </w:p>
    <w:p w14:paraId="7443A2FA">
      <w:pPr>
        <w:pStyle w:val="7"/>
        <w:numPr>
          <w:ilvl w:val="4"/>
          <w:numId w:val="16"/>
        </w:numPr>
      </w:pPr>
      <w:r>
        <w:rPr>
          <w:rFonts w:hint="eastAsia"/>
        </w:rPr>
        <w:t>技术对接</w:t>
      </w:r>
    </w:p>
    <w:p w14:paraId="642B745B">
      <w:pPr>
        <w:pStyle w:val="70"/>
        <w:numPr>
          <w:ilvl w:val="0"/>
          <w:numId w:val="44"/>
        </w:numPr>
        <w:ind w:left="0" w:firstLine="480"/>
        <w:jc w:val="left"/>
        <w:rPr>
          <w:lang w:val="zh-CN"/>
        </w:rPr>
      </w:pPr>
      <w:r>
        <w:rPr>
          <w:rFonts w:hint="eastAsia"/>
          <w:lang w:val="zh-CN"/>
        </w:rPr>
        <w:t>医院接入改造测试支持，提供医院测试环境和用例，并协助医院在接入检查检验互认平台前所需的相关内容，包括：机构代码、用户名及密码、公钥、DEMO程序、操作手册等；</w:t>
      </w:r>
    </w:p>
    <w:p w14:paraId="5B24769F">
      <w:pPr>
        <w:pStyle w:val="70"/>
        <w:numPr>
          <w:ilvl w:val="0"/>
          <w:numId w:val="44"/>
        </w:numPr>
        <w:ind w:left="0" w:firstLine="480"/>
        <w:jc w:val="left"/>
        <w:rPr>
          <w:lang w:val="zh-CN"/>
        </w:rPr>
      </w:pPr>
      <w:r>
        <w:rPr>
          <w:rFonts w:hint="eastAsia"/>
          <w:lang w:val="zh-CN"/>
        </w:rPr>
        <w:t>配合医院技术支持单位检测调用服务过程中出现的异常，涉及业务流程如检查检验体检的数据注册、作废，获取近期检查检验记录、获取近期互认项目明细信息、互认结果提交、引用结果提交等；</w:t>
      </w:r>
    </w:p>
    <w:p w14:paraId="1217F3C1">
      <w:pPr>
        <w:pStyle w:val="70"/>
        <w:numPr>
          <w:ilvl w:val="0"/>
          <w:numId w:val="44"/>
        </w:numPr>
        <w:ind w:left="0" w:firstLine="480"/>
        <w:jc w:val="left"/>
        <w:rPr>
          <w:lang w:val="zh-CN"/>
        </w:rPr>
      </w:pPr>
      <w:r>
        <w:rPr>
          <w:rFonts w:hint="eastAsia"/>
          <w:lang w:val="zh-CN"/>
        </w:rPr>
        <w:t>对接时，配合机构调试数据是否达标、哪些数据出现什么问题及应该如何处理等。</w:t>
      </w:r>
    </w:p>
    <w:p w14:paraId="777EF7A7">
      <w:pPr>
        <w:pStyle w:val="7"/>
        <w:numPr>
          <w:ilvl w:val="4"/>
          <w:numId w:val="16"/>
        </w:numPr>
      </w:pPr>
      <w:r>
        <w:rPr>
          <w:rFonts w:hint="eastAsia"/>
        </w:rPr>
        <w:t>数据质量巡查和通报</w:t>
      </w:r>
    </w:p>
    <w:p w14:paraId="30E8AD6F">
      <w:pPr>
        <w:pStyle w:val="106"/>
        <w:ind w:firstLine="480"/>
        <w:rPr>
          <w:lang w:val="zh-CN"/>
        </w:rPr>
      </w:pPr>
      <w:r>
        <w:rPr>
          <w:rFonts w:hint="eastAsia"/>
          <w:lang w:val="zh-CN"/>
        </w:rPr>
        <w:t>每日数据质量巡查，巡查的内容包括检查检验的报告数/日报数的比例、检查检验的pdf数/报告数的比例、检查检验的不互认细项数/不互认细项数的比例等等。如果数据不达标，及时联系医院负责人完善数据质量，积极促进医院有效完成检查检验项目互认工作。</w:t>
      </w:r>
    </w:p>
    <w:p w14:paraId="5FCB4A9B">
      <w:pPr>
        <w:pStyle w:val="7"/>
        <w:numPr>
          <w:ilvl w:val="4"/>
          <w:numId w:val="16"/>
        </w:numPr>
      </w:pPr>
      <w:r>
        <w:rPr>
          <w:rFonts w:hint="eastAsia"/>
        </w:rPr>
        <w:t>数据采集</w:t>
      </w:r>
    </w:p>
    <w:p w14:paraId="3230C17D">
      <w:pPr>
        <w:pStyle w:val="186"/>
        <w:ind w:firstLine="480"/>
        <w:rPr>
          <w:rFonts w:ascii="宋体" w:hAnsi="宋体"/>
          <w:lang w:val="zh-CN"/>
        </w:rPr>
      </w:pPr>
      <w:r>
        <w:rPr>
          <w:rFonts w:hint="eastAsia" w:ascii="宋体" w:hAnsi="宋体"/>
          <w:lang w:val="zh-CN"/>
        </w:rPr>
        <w:t>平台可以支持增量及全量的混合汇聚形式实现对检验检查和体检数据采集，并支持定频和实时汇聚方式，把从各医疗卫生机构的检验检查数据实时采集到平台，并将日报、日志等数据通过T+1方式上传至平台，满足检验检查互认业务场景的实时数据共享需求和互认监管的数据统计需求。</w:t>
      </w:r>
    </w:p>
    <w:p w14:paraId="011CD6FF">
      <w:pPr>
        <w:pStyle w:val="8"/>
        <w:numPr>
          <w:ilvl w:val="5"/>
          <w:numId w:val="16"/>
        </w:numPr>
      </w:pPr>
      <w:r>
        <w:rPr>
          <w:rFonts w:hint="eastAsia"/>
        </w:rPr>
        <w:t>数据传输安全机制</w:t>
      </w:r>
    </w:p>
    <w:p w14:paraId="12FDFC34">
      <w:pPr>
        <w:pStyle w:val="186"/>
        <w:ind w:firstLine="480"/>
        <w:rPr>
          <w:rFonts w:ascii="宋体" w:hAnsi="宋体"/>
          <w:lang w:val="zh-CN"/>
        </w:rPr>
      </w:pPr>
      <w:r>
        <w:rPr>
          <w:rFonts w:hint="eastAsia" w:ascii="宋体" w:hAnsi="宋体"/>
          <w:lang w:val="zh-CN"/>
        </w:rPr>
        <w:t>为了确保数据在传输过程中的安全性，依据国家相关安全对数据传输过程采用国密算法SM2+SM4复合型加密算法对身份信息和传输数据进行加密，由平台为接入对象分配唯一的加密密钥保证数据传输过程的安全性。</w:t>
      </w:r>
    </w:p>
    <w:p w14:paraId="374D7213">
      <w:pPr>
        <w:pStyle w:val="8"/>
        <w:numPr>
          <w:ilvl w:val="5"/>
          <w:numId w:val="16"/>
        </w:numPr>
      </w:pPr>
      <w:r>
        <w:rPr>
          <w:rFonts w:hint="eastAsia"/>
        </w:rPr>
        <w:t>数据实时采集</w:t>
      </w:r>
    </w:p>
    <w:p w14:paraId="00CB47A0">
      <w:pPr>
        <w:pStyle w:val="186"/>
        <w:ind w:firstLine="480"/>
        <w:rPr>
          <w:rFonts w:ascii="宋体" w:hAnsi="宋体"/>
          <w:lang w:val="zh-CN"/>
        </w:rPr>
      </w:pPr>
      <w:r>
        <w:rPr>
          <w:rFonts w:hint="eastAsia" w:ascii="宋体" w:hAnsi="宋体"/>
          <w:lang w:val="zh-CN"/>
        </w:rPr>
        <w:t>对于检验检查结果数据，医疗机构上传到数据节点，需要实时采集到互认平台，汇聚平台能够支持不低于十分钟的时间偏差。</w:t>
      </w:r>
    </w:p>
    <w:p w14:paraId="23C038BC">
      <w:pPr>
        <w:pStyle w:val="8"/>
        <w:numPr>
          <w:ilvl w:val="5"/>
          <w:numId w:val="16"/>
        </w:numPr>
      </w:pPr>
      <w:r>
        <w:rPr>
          <w:rFonts w:hint="eastAsia"/>
        </w:rPr>
        <w:t>数据T+</w:t>
      </w:r>
      <w:r>
        <w:t>1</w:t>
      </w:r>
      <w:r>
        <w:rPr>
          <w:rFonts w:hint="eastAsia"/>
        </w:rPr>
        <w:t>采集</w:t>
      </w:r>
    </w:p>
    <w:p w14:paraId="1F48B238">
      <w:pPr>
        <w:pStyle w:val="186"/>
        <w:ind w:firstLine="480"/>
        <w:rPr>
          <w:rFonts w:ascii="宋体" w:hAnsi="宋体"/>
          <w:lang w:val="zh-CN"/>
        </w:rPr>
      </w:pPr>
      <w:r>
        <w:rPr>
          <w:rFonts w:hint="eastAsia" w:ascii="宋体" w:hAnsi="宋体"/>
          <w:lang w:val="zh-CN"/>
        </w:rPr>
        <w:t>对于日报、互认和引用日志等实时性要求不那么高的数据，则需要支持定频采集，汇聚系统可根据不同要求设定不同的采集频率。</w:t>
      </w:r>
    </w:p>
    <w:p w14:paraId="1F9C65A0">
      <w:pPr>
        <w:pStyle w:val="8"/>
        <w:numPr>
          <w:ilvl w:val="5"/>
          <w:numId w:val="16"/>
        </w:numPr>
      </w:pPr>
      <w:r>
        <w:rPr>
          <w:rFonts w:hint="eastAsia"/>
        </w:rPr>
        <w:t>数据全量采集</w:t>
      </w:r>
    </w:p>
    <w:p w14:paraId="6F81C79E">
      <w:pPr>
        <w:pStyle w:val="186"/>
        <w:ind w:firstLine="480"/>
        <w:rPr>
          <w:rFonts w:ascii="宋体" w:hAnsi="宋体"/>
          <w:lang w:val="zh-CN"/>
        </w:rPr>
      </w:pPr>
      <w:r>
        <w:rPr>
          <w:rFonts w:hint="eastAsia" w:ascii="宋体" w:hAnsi="宋体"/>
          <w:lang w:val="zh-CN"/>
        </w:rPr>
        <w:t>汇聚平台支持医疗机构初始接入时，大批量补传数据的全量采集模式。</w:t>
      </w:r>
    </w:p>
    <w:p w14:paraId="09E90377">
      <w:pPr>
        <w:pStyle w:val="8"/>
        <w:numPr>
          <w:ilvl w:val="5"/>
          <w:numId w:val="16"/>
        </w:numPr>
      </w:pPr>
      <w:r>
        <w:rPr>
          <w:rFonts w:hint="eastAsia"/>
        </w:rPr>
        <w:t>数据增量采集</w:t>
      </w:r>
    </w:p>
    <w:p w14:paraId="0E12ADFD">
      <w:pPr>
        <w:pStyle w:val="186"/>
        <w:ind w:firstLine="480"/>
        <w:rPr>
          <w:rFonts w:ascii="宋体" w:hAnsi="宋体"/>
          <w:lang w:val="zh-CN"/>
        </w:rPr>
      </w:pPr>
      <w:r>
        <w:rPr>
          <w:rFonts w:hint="eastAsia" w:ascii="宋体" w:hAnsi="宋体"/>
          <w:lang w:val="zh-CN"/>
        </w:rPr>
        <w:t>汇聚平台支持基于时间戳的增量采集方式，可根据时间将最新的数据采集至平台。</w:t>
      </w:r>
    </w:p>
    <w:bookmarkEnd w:id="443"/>
    <w:p w14:paraId="5C2D2637">
      <w:pPr>
        <w:pStyle w:val="70"/>
        <w:keepNext/>
        <w:keepLines/>
        <w:pageBreakBefore/>
        <w:numPr>
          <w:ilvl w:val="1"/>
          <w:numId w:val="45"/>
        </w:numPr>
        <w:adjustRightInd w:val="0"/>
        <w:snapToGrid w:val="0"/>
        <w:spacing w:before="340" w:after="330"/>
        <w:ind w:left="0" w:firstLine="643"/>
        <w:jc w:val="left"/>
        <w:outlineLvl w:val="0"/>
        <w:rPr>
          <w:b/>
          <w:bCs/>
          <w:vanish/>
          <w:kern w:val="44"/>
          <w:sz w:val="32"/>
          <w:szCs w:val="44"/>
        </w:rPr>
      </w:pPr>
      <w:bookmarkStart w:id="448" w:name="_Toc174458970"/>
      <w:bookmarkEnd w:id="448"/>
      <w:bookmarkStart w:id="449" w:name="_Toc174456313"/>
      <w:bookmarkEnd w:id="449"/>
      <w:bookmarkStart w:id="450" w:name="_Toc164957181"/>
    </w:p>
    <w:p w14:paraId="25716CC6">
      <w:pPr>
        <w:pStyle w:val="70"/>
        <w:keepNext/>
        <w:keepLines/>
        <w:pageBreakBefore/>
        <w:numPr>
          <w:ilvl w:val="1"/>
          <w:numId w:val="45"/>
        </w:numPr>
        <w:adjustRightInd w:val="0"/>
        <w:snapToGrid w:val="0"/>
        <w:spacing w:before="340" w:after="330"/>
        <w:ind w:left="0" w:firstLine="643"/>
        <w:jc w:val="left"/>
        <w:outlineLvl w:val="0"/>
        <w:rPr>
          <w:b/>
          <w:bCs/>
          <w:vanish/>
          <w:kern w:val="44"/>
          <w:sz w:val="32"/>
          <w:szCs w:val="44"/>
        </w:rPr>
      </w:pPr>
      <w:bookmarkStart w:id="451" w:name="_Toc174456314"/>
      <w:bookmarkEnd w:id="451"/>
      <w:bookmarkStart w:id="452" w:name="_Toc174458971"/>
      <w:bookmarkEnd w:id="452"/>
    </w:p>
    <w:p w14:paraId="74837AAC">
      <w:pPr>
        <w:ind w:firstLine="480" w:firstLineChars="200"/>
      </w:pPr>
      <w:r>
        <w:rPr>
          <w:rFonts w:hint="eastAsia"/>
        </w:rPr>
        <w:t>互认范围</w:t>
      </w:r>
      <w:bookmarkEnd w:id="450"/>
    </w:p>
    <w:p w14:paraId="533DA192">
      <w:pPr>
        <w:pStyle w:val="186"/>
        <w:ind w:firstLine="480"/>
        <w:rPr>
          <w:rFonts w:ascii="宋体" w:hAnsi="宋体"/>
          <w:lang w:val="zh-CN"/>
        </w:rPr>
      </w:pPr>
      <w:r>
        <w:rPr>
          <w:rFonts w:hint="eastAsia" w:ascii="宋体" w:hAnsi="宋体"/>
          <w:lang w:val="zh-CN"/>
        </w:rPr>
        <w:t>（一）同级公立医疗机构之间属互认项目的检查检验结果，应互相认可。</w:t>
      </w:r>
    </w:p>
    <w:p w14:paraId="1B60807A">
      <w:pPr>
        <w:pStyle w:val="186"/>
        <w:ind w:firstLine="480"/>
        <w:rPr>
          <w:rFonts w:ascii="宋体" w:hAnsi="宋体"/>
          <w:lang w:val="zh-CN"/>
        </w:rPr>
      </w:pPr>
      <w:r>
        <w:rPr>
          <w:rFonts w:hint="eastAsia" w:ascii="宋体" w:hAnsi="宋体"/>
          <w:lang w:val="zh-CN"/>
        </w:rPr>
        <w:t>（二）紧密型城市医疗集团和县域医疗共同体内医疗机构属互认项目的检查检验结果，应互相认可。</w:t>
      </w:r>
    </w:p>
    <w:p w14:paraId="5BCC8B5B">
      <w:pPr>
        <w:pStyle w:val="186"/>
        <w:ind w:firstLine="480"/>
        <w:rPr>
          <w:rFonts w:ascii="宋体" w:hAnsi="宋体"/>
          <w:lang w:val="zh-CN"/>
        </w:rPr>
      </w:pPr>
      <w:r>
        <w:rPr>
          <w:rFonts w:hint="eastAsia" w:ascii="宋体" w:hAnsi="宋体"/>
          <w:lang w:val="zh-CN"/>
        </w:rPr>
        <w:t>（三）二级及以下公立医疗机构对上级公立医疗机构属互认项目的检查检验结果，原则上应予认可。</w:t>
      </w:r>
    </w:p>
    <w:p w14:paraId="1D41D6D7">
      <w:pPr>
        <w:pStyle w:val="19"/>
        <w:spacing w:before="163" w:after="0"/>
        <w:ind w:firstLine="480" w:firstLineChars="200"/>
        <w:rPr>
          <w:rFonts w:cs="宋体"/>
          <w:szCs w:val="32"/>
          <w:lang w:val="zh-CN"/>
        </w:rPr>
      </w:pPr>
    </w:p>
    <w:p w14:paraId="08E1700C">
      <w:pPr>
        <w:pStyle w:val="4"/>
        <w:numPr>
          <w:ilvl w:val="1"/>
          <w:numId w:val="16"/>
        </w:numPr>
      </w:pPr>
      <w:bookmarkStart w:id="453" w:name="_Toc202539081"/>
      <w:r>
        <w:rPr>
          <w:rFonts w:hint="eastAsia"/>
        </w:rPr>
        <w:t>一体化基层医疗服务</w:t>
      </w:r>
      <w:bookmarkEnd w:id="206"/>
      <w:bookmarkEnd w:id="207"/>
      <w:bookmarkEnd w:id="453"/>
    </w:p>
    <w:p w14:paraId="4CD9E23D">
      <w:pPr>
        <w:pStyle w:val="5"/>
        <w:numPr>
          <w:ilvl w:val="2"/>
          <w:numId w:val="16"/>
        </w:numPr>
      </w:pPr>
      <w:bookmarkStart w:id="454" w:name="_Toc202539082"/>
      <w:r>
        <w:rPr>
          <w:rFonts w:hint="eastAsia"/>
        </w:rPr>
        <w:t>基层HIS系统</w:t>
      </w:r>
      <w:bookmarkEnd w:id="454"/>
    </w:p>
    <w:p w14:paraId="41CE0A27">
      <w:pPr>
        <w:pStyle w:val="3"/>
      </w:pPr>
      <w:r>
        <w:rPr>
          <w:rFonts w:hint="eastAsia"/>
        </w:rPr>
        <w:t>以乌拉特前旗人民医院的HIS系统为主，延伸覆盖基层机构。</w:t>
      </w:r>
    </w:p>
    <w:p w14:paraId="333AC279">
      <w:pPr>
        <w:pStyle w:val="6"/>
        <w:numPr>
          <w:ilvl w:val="3"/>
          <w:numId w:val="16"/>
        </w:numPr>
      </w:pPr>
      <w:bookmarkStart w:id="455" w:name="_Toc23404944"/>
      <w:bookmarkStart w:id="456" w:name="_Toc198048592"/>
      <w:bookmarkStart w:id="457" w:name="_Toc147920836"/>
      <w:bookmarkStart w:id="458" w:name="_Toc2668676"/>
      <w:bookmarkStart w:id="459" w:name="_Toc3278416"/>
      <w:r>
        <w:rPr>
          <w:rFonts w:hint="eastAsia"/>
        </w:rPr>
        <w:t>门诊</w:t>
      </w:r>
      <w:bookmarkEnd w:id="455"/>
      <w:r>
        <w:rPr>
          <w:rFonts w:hint="eastAsia"/>
        </w:rPr>
        <w:t>管理</w:t>
      </w:r>
      <w:bookmarkEnd w:id="456"/>
      <w:bookmarkEnd w:id="457"/>
    </w:p>
    <w:p w14:paraId="06A4CAC3">
      <w:pPr>
        <w:pStyle w:val="7"/>
        <w:numPr>
          <w:ilvl w:val="4"/>
          <w:numId w:val="16"/>
        </w:numPr>
      </w:pPr>
      <w:bookmarkStart w:id="460" w:name="_Toc147920837"/>
      <w:bookmarkStart w:id="461" w:name="_Hlk165188972"/>
      <w:r>
        <w:rPr>
          <w:rFonts w:hint="eastAsia"/>
        </w:rPr>
        <w:t>门急诊挂号收费系统</w:t>
      </w:r>
      <w:bookmarkEnd w:id="458"/>
      <w:bookmarkEnd w:id="459"/>
      <w:bookmarkEnd w:id="460"/>
    </w:p>
    <w:p w14:paraId="721FB399">
      <w:pPr>
        <w:pStyle w:val="3"/>
      </w:pPr>
      <w:r>
        <w:rPr>
          <w:rFonts w:hint="eastAsia"/>
        </w:rPr>
        <w:t>门急诊挂号收费系统主要针对患者信息以及收费结算的管理系统，通过系统进行病人注册挂号、就诊卡管理以及门急诊费用的结算收费退费。患者入院后到收费处进行注册信息获取院内就诊卡以便后续的就诊，通过身份证或医保卡的方式读取病人信息减少收费员的操作录入成本，并且可依据患者的简述帮助患者直接进行院内科室的挂号和缴费。</w:t>
      </w:r>
      <w:r>
        <w:rPr>
          <w:rFonts w:hint="eastAsia" w:asciiTheme="minorEastAsia" w:hAnsiTheme="minorEastAsia" w:eastAsiaTheme="minorEastAsia"/>
        </w:rPr>
        <w:t>具备支持以下功能：</w:t>
      </w:r>
    </w:p>
    <w:p w14:paraId="75E3900E">
      <w:pPr>
        <w:pStyle w:val="8"/>
        <w:numPr>
          <w:ilvl w:val="5"/>
          <w:numId w:val="16"/>
        </w:numPr>
      </w:pPr>
      <w:r>
        <w:rPr>
          <w:rFonts w:hint="eastAsia"/>
        </w:rPr>
        <w:t>注册登记</w:t>
      </w:r>
      <w:r>
        <w:t>/</w:t>
      </w:r>
      <w:r>
        <w:rPr>
          <w:rFonts w:hint="eastAsia"/>
        </w:rPr>
        <w:t>实名建档</w:t>
      </w:r>
    </w:p>
    <w:p w14:paraId="22CA04A6">
      <w:pPr>
        <w:pStyle w:val="9"/>
        <w:numPr>
          <w:ilvl w:val="6"/>
          <w:numId w:val="16"/>
        </w:numPr>
      </w:pPr>
      <w:r>
        <w:rPr>
          <w:rFonts w:hint="eastAsia"/>
        </w:rPr>
        <w:t>病人注册</w:t>
      </w:r>
    </w:p>
    <w:p w14:paraId="23C3F8DD">
      <w:pPr>
        <w:pStyle w:val="3"/>
      </w:pPr>
      <w:r>
        <w:rPr>
          <w:rFonts w:hint="eastAsia"/>
        </w:rPr>
        <w:t>患者入院时通过收费员进行病人信息注册获取院内就诊卡方便后续的就诊，收款员可通过就诊卡、身份证、居民健康卡、社会保障卡、金融IC卡、市民服务卡等读取患者的基本信息，减少录入成本和准确性，提高注册效率。注册完成后在患者需要的情况下可帮助患者进行挂号预约。</w:t>
      </w:r>
    </w:p>
    <w:p w14:paraId="7D8401B0">
      <w:pPr>
        <w:pStyle w:val="9"/>
        <w:numPr>
          <w:ilvl w:val="6"/>
          <w:numId w:val="16"/>
        </w:numPr>
      </w:pPr>
      <w:r>
        <w:rPr>
          <w:rFonts w:hint="eastAsia"/>
        </w:rPr>
        <w:t>病人信息修改</w:t>
      </w:r>
    </w:p>
    <w:p w14:paraId="7A8C4069">
      <w:pPr>
        <w:pStyle w:val="3"/>
      </w:pPr>
      <w:r>
        <w:rPr>
          <w:rFonts w:hint="eastAsia"/>
        </w:rPr>
        <w:t>针对于已注册患者，部分信息录入存在问题或者如电话信息更新时允许在此进行修改更新，提供修改日志查询，做到有据可循保障管理者的追溯。</w:t>
      </w:r>
    </w:p>
    <w:p w14:paraId="0FAEB8F2">
      <w:pPr>
        <w:pStyle w:val="8"/>
        <w:numPr>
          <w:ilvl w:val="5"/>
          <w:numId w:val="16"/>
        </w:numPr>
      </w:pPr>
      <w:r>
        <w:rPr>
          <w:rFonts w:hint="eastAsia"/>
        </w:rPr>
        <w:t>就诊卡管理</w:t>
      </w:r>
    </w:p>
    <w:p w14:paraId="43DC2ADD">
      <w:pPr>
        <w:pStyle w:val="3"/>
      </w:pPr>
      <w:r>
        <w:rPr>
          <w:rFonts w:hint="eastAsia"/>
        </w:rPr>
        <w:t>患者入院注册后提供院内就诊卡，就诊卡是患者在院内的身份标识，通过卡号和ID关联相应的患者就诊信息。患者可根据就诊卡进行就诊，收费员通过就诊卡管理进行卡的换卡、补卡、退卡等管理操作。</w:t>
      </w:r>
    </w:p>
    <w:p w14:paraId="7AE2497D">
      <w:pPr>
        <w:pStyle w:val="3"/>
      </w:pPr>
      <w:r>
        <w:rPr>
          <w:rFonts w:hint="eastAsia"/>
        </w:rPr>
        <w:t>具体包括换卡、补卡、退卡、挂失、就诊卡修改记录</w:t>
      </w:r>
    </w:p>
    <w:p w14:paraId="72E5F819">
      <w:pPr>
        <w:pStyle w:val="8"/>
        <w:numPr>
          <w:ilvl w:val="5"/>
          <w:numId w:val="16"/>
        </w:numPr>
      </w:pPr>
      <w:r>
        <w:rPr>
          <w:rFonts w:hint="eastAsia"/>
        </w:rPr>
        <w:t>挂号服务</w:t>
      </w:r>
    </w:p>
    <w:p w14:paraId="51DB6025">
      <w:pPr>
        <w:pStyle w:val="3"/>
      </w:pPr>
      <w:r>
        <w:rPr>
          <w:rFonts w:hint="eastAsia"/>
        </w:rPr>
        <w:t>系统支持患者通过就诊卡、身份证、居民健康卡、社会保障卡、金融IC卡、市民服务卡等读取患者的身份信息，通过患者信息办理就诊卡号相关联，为患者建档发卡，再根据患者基本情况为患者进行相应科室的挂号。</w:t>
      </w:r>
    </w:p>
    <w:p w14:paraId="3DF5396B">
      <w:pPr>
        <w:pStyle w:val="3"/>
      </w:pPr>
      <w:r>
        <w:rPr>
          <w:rFonts w:hint="eastAsia"/>
        </w:rPr>
        <w:t>具体包括注册挂号、挂号结算、挂号查询、退号。</w:t>
      </w:r>
    </w:p>
    <w:p w14:paraId="2444A178">
      <w:pPr>
        <w:pStyle w:val="8"/>
        <w:numPr>
          <w:ilvl w:val="5"/>
          <w:numId w:val="16"/>
        </w:numPr>
      </w:pPr>
      <w:r>
        <w:rPr>
          <w:rFonts w:hint="eastAsia"/>
        </w:rPr>
        <w:t>门诊收费与结算</w:t>
      </w:r>
    </w:p>
    <w:p w14:paraId="47F4BAFE">
      <w:pPr>
        <w:pStyle w:val="3"/>
      </w:pPr>
      <w:r>
        <w:rPr>
          <w:rFonts w:hint="eastAsia"/>
        </w:rPr>
        <w:t>门急诊患者费用处理主要集中在收费窗口，系统支持门急诊患者收退预交金、费用结算等业务处理。医院的财务做账模式主要分为预交金模式和现金模式，医院门诊使用预交金模式下支持收退预交金功能，患者入院就诊前需到收费窗口进行收预交金作为后续就诊费用，减少患者就诊过程中需多次支付的繁琐步骤。</w:t>
      </w:r>
    </w:p>
    <w:bookmarkEnd w:id="461"/>
    <w:p w14:paraId="6215BB1F">
      <w:pPr>
        <w:pStyle w:val="7"/>
        <w:numPr>
          <w:ilvl w:val="4"/>
          <w:numId w:val="16"/>
        </w:numPr>
      </w:pPr>
      <w:bookmarkStart w:id="462" w:name="_Toc147920838"/>
      <w:bookmarkStart w:id="463" w:name="_Hlk165189103"/>
      <w:r>
        <w:rPr>
          <w:rFonts w:hint="eastAsia"/>
        </w:rPr>
        <w:t>门诊医生工作站</w:t>
      </w:r>
      <w:bookmarkEnd w:id="462"/>
    </w:p>
    <w:p w14:paraId="37649BCF">
      <w:pPr>
        <w:pStyle w:val="3"/>
      </w:pPr>
      <w:r>
        <w:rPr>
          <w:rFonts w:hint="eastAsia"/>
        </w:rPr>
        <w:t>实现门急诊处方、检查、检验、治疗、手术等处方和处置的全流程管理。</w:t>
      </w:r>
    </w:p>
    <w:p w14:paraId="552346E7">
      <w:pPr>
        <w:pStyle w:val="3"/>
      </w:pPr>
      <w:r>
        <w:t>提供患者黑名单登记和提醒功能。对有精神病史、攻击性、高危传染病、财务警告及其他不良事件的患者可进行人工或自动登记，接诊时自动给与警示。</w:t>
      </w:r>
      <w:r>
        <w:rPr>
          <w:rFonts w:hint="eastAsia" w:asciiTheme="minorEastAsia" w:hAnsiTheme="minorEastAsia" w:eastAsiaTheme="minorEastAsia"/>
        </w:rPr>
        <w:t>具备支持以下功能：</w:t>
      </w:r>
    </w:p>
    <w:p w14:paraId="5D84BDEF">
      <w:pPr>
        <w:pStyle w:val="8"/>
        <w:numPr>
          <w:ilvl w:val="5"/>
          <w:numId w:val="16"/>
        </w:numPr>
      </w:pPr>
      <w:r>
        <w:rPr>
          <w:rFonts w:hint="eastAsia"/>
        </w:rPr>
        <w:t>西药处方录入</w:t>
      </w:r>
    </w:p>
    <w:p w14:paraId="37399676">
      <w:pPr>
        <w:pStyle w:val="3"/>
      </w:pPr>
      <w:r>
        <w:rPr>
          <w:rFonts w:hint="eastAsia"/>
        </w:rPr>
        <w:t>支持药品处方录入，包括药品名称、剂型、规格、剂量、使用频次、天数、给药途径、数量、滴速、录入时间、使用备注、执行药房、皮试类型等内容。自动获取和显示药品字典信息。可以引用模板、常用项目、历史处方等数据开具处方。具体包括药品字典录入、模板引用录入</w:t>
      </w:r>
    </w:p>
    <w:p w14:paraId="68EC2116">
      <w:pPr>
        <w:pStyle w:val="8"/>
        <w:numPr>
          <w:ilvl w:val="5"/>
          <w:numId w:val="16"/>
        </w:numPr>
      </w:pPr>
      <w:r>
        <w:t>中药处方录入</w:t>
      </w:r>
    </w:p>
    <w:p w14:paraId="6B9C9D29">
      <w:pPr>
        <w:pStyle w:val="3"/>
      </w:pPr>
      <w:r>
        <w:t>支持中药处方录入，包括药品名、贴剂量、药品说明备注、加工方式、执行科室、剂数、用量、频次、用法、配送方式、配送地址、处方说明备注等内容。自动获取和显示中医诊断、中医症候。支持病种选择及处方类型修正。可以通过中药药品字典、引用中药模板、历史中药处方等方式开具中药处方。</w:t>
      </w:r>
    </w:p>
    <w:p w14:paraId="3E0648A3">
      <w:pPr>
        <w:pStyle w:val="3"/>
      </w:pPr>
      <w:r>
        <w:rPr>
          <w:rFonts w:hint="eastAsia"/>
        </w:rPr>
        <w:t>具体包括</w:t>
      </w:r>
      <w:r>
        <w:t>药品字典录入</w:t>
      </w:r>
      <w:r>
        <w:rPr>
          <w:rFonts w:hint="eastAsia"/>
        </w:rPr>
        <w:t>、</w:t>
      </w:r>
      <w:r>
        <w:t>模板引用录入</w:t>
      </w:r>
      <w:r>
        <w:rPr>
          <w:rFonts w:hint="eastAsia"/>
        </w:rPr>
        <w:t>、</w:t>
      </w:r>
      <w:r>
        <w:t>中药处方配送</w:t>
      </w:r>
    </w:p>
    <w:p w14:paraId="185002D7">
      <w:pPr>
        <w:pStyle w:val="8"/>
        <w:numPr>
          <w:ilvl w:val="5"/>
          <w:numId w:val="16"/>
        </w:numPr>
      </w:pPr>
      <w:r>
        <w:rPr>
          <w:rFonts w:hint="eastAsia"/>
        </w:rPr>
        <w:t>检验申请</w:t>
      </w:r>
    </w:p>
    <w:p w14:paraId="2A8EC227">
      <w:pPr>
        <w:pStyle w:val="3"/>
      </w:pPr>
      <w:r>
        <w:rPr>
          <w:rFonts w:hint="eastAsia"/>
        </w:rPr>
        <w:t>自动获取和显示检验项目字典信息，包括项目名称、取材部位、标本材料、价格、医保费用类别等信息。录入检验申请时自动获取患者的基本信息和临床诊疗信息。支持检验申请加急、重复检验项目提醒、检验申请执行状态查询、检验项目的参考知识（医院有</w:t>
      </w:r>
      <w:r>
        <w:t>临床决策</w:t>
      </w:r>
      <w:r>
        <w:rPr>
          <w:rFonts w:hint="eastAsia"/>
        </w:rPr>
        <w:t>系统才支持，支持和厂商对接）、检验结果与报告数据获取等。支持模板和常用项目，历史处方引用录入。具体包括检验项目字典申请、检验项目模板引用申请。</w:t>
      </w:r>
    </w:p>
    <w:p w14:paraId="64CC4DDC">
      <w:pPr>
        <w:pStyle w:val="8"/>
        <w:numPr>
          <w:ilvl w:val="5"/>
          <w:numId w:val="16"/>
        </w:numPr>
      </w:pPr>
      <w:r>
        <w:rPr>
          <w:rFonts w:hint="eastAsia"/>
        </w:rPr>
        <w:t>检查申请</w:t>
      </w:r>
    </w:p>
    <w:p w14:paraId="66C6ADAA">
      <w:pPr>
        <w:pStyle w:val="3"/>
      </w:pPr>
      <w:r>
        <w:rPr>
          <w:rFonts w:hint="eastAsia"/>
        </w:rPr>
        <w:t>自动获取和显示检查项目字典信息，包括项目名称、检查部位、价格、医保费用类别等信息。录入申请时自动获取患者的基本信息和临床诊疗信息。支持申请检查加急、重复检查项目提醒、检查申请执行状态查询、提供检查项目的参考知识（医院有上医院有</w:t>
      </w:r>
      <w:r>
        <w:t>临床决策</w:t>
      </w:r>
      <w:r>
        <w:rPr>
          <w:rFonts w:hint="eastAsia"/>
        </w:rPr>
        <w:t>系统才支持，支持和厂商对接）、检查报告和图像查阅等支持查阅报告时，根据结果和患者诊断、生理指标、历史检查结果对比等自动检查并给出提示。</w:t>
      </w:r>
    </w:p>
    <w:p w14:paraId="5F502461">
      <w:pPr>
        <w:pStyle w:val="3"/>
      </w:pPr>
      <w:r>
        <w:rPr>
          <w:rFonts w:hint="eastAsia"/>
        </w:rPr>
        <w:t>具体包括检查项目字典申请、检查项目模板引用申请。</w:t>
      </w:r>
    </w:p>
    <w:p w14:paraId="49E4EB61">
      <w:pPr>
        <w:pStyle w:val="8"/>
        <w:numPr>
          <w:ilvl w:val="5"/>
          <w:numId w:val="16"/>
        </w:numPr>
      </w:pPr>
      <w:r>
        <w:rPr>
          <w:rFonts w:hint="eastAsia"/>
        </w:rPr>
        <w:t>手术、治疗申请</w:t>
      </w:r>
    </w:p>
    <w:p w14:paraId="418835AE">
      <w:pPr>
        <w:pStyle w:val="3"/>
      </w:pPr>
      <w:r>
        <w:rPr>
          <w:rFonts w:hint="eastAsia"/>
        </w:rPr>
        <w:t>自动获取和显示手术、治疗项目字典信息，包括项目名称、价格、医保费用类别等信息。在录入申请时可以自动获取患者的病人姓名、性别、年龄等基本信息和过敏史、传染史等临床诊疗信息。支持申请加急、重复项目提示、申请执行状态查询、项目的参考知识（医院有</w:t>
      </w:r>
      <w:r>
        <w:t>临床决策</w:t>
      </w:r>
      <w:r>
        <w:rPr>
          <w:rFonts w:hint="eastAsia"/>
        </w:rPr>
        <w:t>系统才支持，支持和厂商对接）等。</w:t>
      </w:r>
    </w:p>
    <w:p w14:paraId="72EF628E">
      <w:pPr>
        <w:pStyle w:val="3"/>
      </w:pPr>
      <w:r>
        <w:rPr>
          <w:rFonts w:hint="eastAsia"/>
        </w:rPr>
        <w:t>具体包括字典录入申请、模板引用申请</w:t>
      </w:r>
    </w:p>
    <w:p w14:paraId="71177DFB">
      <w:pPr>
        <w:pStyle w:val="8"/>
        <w:numPr>
          <w:ilvl w:val="5"/>
          <w:numId w:val="16"/>
        </w:numPr>
      </w:pPr>
      <w:r>
        <w:rPr>
          <w:rFonts w:hint="eastAsia"/>
        </w:rPr>
        <w:t>处方处置模板</w:t>
      </w:r>
    </w:p>
    <w:p w14:paraId="17292389">
      <w:pPr>
        <w:pStyle w:val="3"/>
      </w:pPr>
      <w:r>
        <w:rPr>
          <w:rFonts w:hint="eastAsia"/>
        </w:rPr>
        <w:t>支持在开治处方处置的时候，把当前的处方处置另存为模板，并可根据需要设置模板的使用范围和模板关联的诊断，在下次开治处方处置的时候，可以根据当前病人的诊断快速定位到符合诊断的医嘱模板，可以选择模板快速引用开治。对已经保存过的模板，可以进行模板名称、使用权限范围、关联诊断、处方处置内容的修改和个人模板的授权设置，修改后的模板也可重新另存为新的模板使用。对于不需要的模板也可进行删除操作。</w:t>
      </w:r>
    </w:p>
    <w:p w14:paraId="07FD2551">
      <w:pPr>
        <w:pStyle w:val="8"/>
        <w:numPr>
          <w:ilvl w:val="5"/>
          <w:numId w:val="16"/>
        </w:numPr>
      </w:pPr>
      <w:r>
        <w:rPr>
          <w:rFonts w:hint="eastAsia"/>
        </w:rPr>
        <w:t>申请单书写查看</w:t>
      </w:r>
    </w:p>
    <w:p w14:paraId="5546AB0D">
      <w:pPr>
        <w:pStyle w:val="3"/>
      </w:pPr>
      <w:r>
        <w:rPr>
          <w:rFonts w:hint="eastAsia"/>
        </w:rPr>
        <w:t>电子化的申请单书写，在书写的时候可自动填入病人的基本信息和临床诊疗信息，可以根据填写状态和申请单类型查找申请单。在申请单列表可以看到申请单的当前状态，项目名称和项目类别等信息，也可以根据需要打印申请单。</w:t>
      </w:r>
    </w:p>
    <w:p w14:paraId="5C568BAE">
      <w:pPr>
        <w:pStyle w:val="8"/>
        <w:numPr>
          <w:ilvl w:val="5"/>
          <w:numId w:val="16"/>
        </w:numPr>
      </w:pPr>
      <w:r>
        <w:rPr>
          <w:rFonts w:hint="eastAsia"/>
        </w:rPr>
        <w:t>诊疗项目扣费执行</w:t>
      </w:r>
    </w:p>
    <w:p w14:paraId="431F0E37">
      <w:pPr>
        <w:pStyle w:val="3"/>
      </w:pPr>
      <w:r>
        <w:rPr>
          <w:rFonts w:hint="eastAsia"/>
        </w:rPr>
        <w:t>本科室执行的诊疗项目，在保存处置的时候，可以直接进行扣费和执行，也可在执行界面进行扣费和执行。</w:t>
      </w:r>
    </w:p>
    <w:bookmarkEnd w:id="463"/>
    <w:p w14:paraId="6D3A1D12">
      <w:pPr>
        <w:pStyle w:val="7"/>
        <w:numPr>
          <w:ilvl w:val="4"/>
          <w:numId w:val="16"/>
        </w:numPr>
      </w:pPr>
      <w:bookmarkStart w:id="464" w:name="_Toc147920839"/>
      <w:r>
        <w:rPr>
          <w:rFonts w:hint="eastAsia"/>
        </w:rPr>
        <w:t>门诊护士工作站</w:t>
      </w:r>
      <w:bookmarkEnd w:id="464"/>
    </w:p>
    <w:p w14:paraId="4255FF37">
      <w:pPr>
        <w:pStyle w:val="3"/>
      </w:pPr>
      <w:r>
        <w:rPr>
          <w:rFonts w:hint="eastAsia"/>
        </w:rPr>
        <w:t>支持门诊单据扣费、执行、退费操作，实现科室备药的领用申请，支持皮试结果登记和查询。实现病人病史、费用等基本信息的查看。</w:t>
      </w:r>
      <w:r>
        <w:rPr>
          <w:rFonts w:hint="eastAsia" w:asciiTheme="minorEastAsia" w:hAnsiTheme="minorEastAsia" w:eastAsiaTheme="minorEastAsia"/>
        </w:rPr>
        <w:t>具备支持以下功能：</w:t>
      </w:r>
    </w:p>
    <w:p w14:paraId="6A6B8DB5">
      <w:pPr>
        <w:pStyle w:val="8"/>
        <w:numPr>
          <w:ilvl w:val="5"/>
          <w:numId w:val="16"/>
        </w:numPr>
      </w:pPr>
      <w:r>
        <w:rPr>
          <w:rFonts w:hint="eastAsia"/>
        </w:rPr>
        <w:t>门诊单据扣费</w:t>
      </w:r>
    </w:p>
    <w:p w14:paraId="178105D9">
      <w:pPr>
        <w:pStyle w:val="3"/>
      </w:pPr>
      <w:r>
        <w:rPr>
          <w:rFonts w:hint="eastAsia"/>
        </w:rPr>
        <w:t>支持门诊单据的新开、扣费、执行，可通过检索查询病人的单据金额，申请时间、申请科室等单据信息。对于不需要执行的单据，可以进行作废处理。</w:t>
      </w:r>
    </w:p>
    <w:p w14:paraId="5420C851">
      <w:pPr>
        <w:pStyle w:val="8"/>
        <w:numPr>
          <w:ilvl w:val="5"/>
          <w:numId w:val="16"/>
        </w:numPr>
      </w:pPr>
      <w:r>
        <w:rPr>
          <w:rFonts w:hint="eastAsia"/>
        </w:rPr>
        <w:t>模板维护</w:t>
      </w:r>
    </w:p>
    <w:p w14:paraId="0AFADBF2">
      <w:pPr>
        <w:pStyle w:val="3"/>
      </w:pPr>
      <w:r>
        <w:rPr>
          <w:rFonts w:hint="eastAsia"/>
        </w:rPr>
        <w:t>对于常用的项目和诊疗，可以维护成模板，在新开的时候，可以直接引用模板新开单据。模板可设置使用范围权限，分为个人模板、科室模板、全院模板，根据选择的使用范围，在调用模板的时候，显示相应的模板信息进行调用。</w:t>
      </w:r>
    </w:p>
    <w:p w14:paraId="23A825A4">
      <w:pPr>
        <w:pStyle w:val="8"/>
        <w:numPr>
          <w:ilvl w:val="5"/>
          <w:numId w:val="16"/>
        </w:numPr>
      </w:pPr>
      <w:r>
        <w:rPr>
          <w:rFonts w:hint="eastAsia"/>
        </w:rPr>
        <w:t>皮试管理</w:t>
      </w:r>
    </w:p>
    <w:p w14:paraId="1413FACA">
      <w:pPr>
        <w:pStyle w:val="3"/>
      </w:pPr>
      <w:r>
        <w:rPr>
          <w:rFonts w:hint="eastAsia"/>
        </w:rPr>
        <w:t>对于一些门诊病人开需要皮试的药品，病人需要根据医院具体的皮试流程，去做皮试，护士在皮试结果出来后，对皮试结果进行录入，并且会同步到病人的基本信息显示区，当病人有多种皮试药物需要皮试时，可以增加多条皮试记录，记录皮试类型、皮试药品、皮试时间、皮试结果等信息，对皮试结果阳性的病人在保存皮试结果时弹出提示，再次提醒护士。</w:t>
      </w:r>
    </w:p>
    <w:p w14:paraId="5438F027">
      <w:pPr>
        <w:pStyle w:val="8"/>
        <w:numPr>
          <w:ilvl w:val="5"/>
          <w:numId w:val="16"/>
        </w:numPr>
      </w:pPr>
      <w:r>
        <w:rPr>
          <w:rFonts w:hint="eastAsia"/>
        </w:rPr>
        <w:t>门诊退费管理</w:t>
      </w:r>
    </w:p>
    <w:p w14:paraId="1B19FD0A">
      <w:pPr>
        <w:pStyle w:val="3"/>
      </w:pPr>
      <w:r>
        <w:rPr>
          <w:rFonts w:hint="eastAsia"/>
        </w:rPr>
        <w:t>支持门诊单据部分退费开单或全部退费开单，并且可执行退费单。支持通过退费时间、单据状态等信息查询病人的退费单据信息，可查看病人扣费项目、数量、时间等单据信息，并且可以查看单据退费状态、操作人、操作科室，一目了然查看单据的退费进度。</w:t>
      </w:r>
    </w:p>
    <w:p w14:paraId="222AB500">
      <w:pPr>
        <w:pStyle w:val="8"/>
        <w:numPr>
          <w:ilvl w:val="5"/>
          <w:numId w:val="16"/>
        </w:numPr>
      </w:pPr>
      <w:r>
        <w:rPr>
          <w:rFonts w:hint="eastAsia"/>
        </w:rPr>
        <w:t>门诊费用清单</w:t>
      </w:r>
    </w:p>
    <w:p w14:paraId="26C63099">
      <w:pPr>
        <w:pStyle w:val="3"/>
      </w:pPr>
      <w:r>
        <w:rPr>
          <w:rFonts w:hint="eastAsia"/>
        </w:rPr>
        <w:t>支持按不同格式展示病人门诊费用清单并打印。可通过选择病人列表或读卡等多种入口查询并定位病人，可查看病人姓名、年龄、费用、余额等基本信息，费用项目、数量、单位、单价、总额、医保比例等费用清单明细内容。</w:t>
      </w:r>
    </w:p>
    <w:p w14:paraId="25271BC7">
      <w:pPr>
        <w:pStyle w:val="6"/>
        <w:numPr>
          <w:ilvl w:val="3"/>
          <w:numId w:val="16"/>
        </w:numPr>
      </w:pPr>
      <w:bookmarkStart w:id="465" w:name="_Toc198048593"/>
      <w:bookmarkStart w:id="466" w:name="_Toc147920842"/>
      <w:r>
        <w:rPr>
          <w:rFonts w:hint="eastAsia"/>
        </w:rPr>
        <w:t>住院管理</w:t>
      </w:r>
      <w:bookmarkEnd w:id="465"/>
      <w:bookmarkEnd w:id="466"/>
    </w:p>
    <w:p w14:paraId="543A40E1">
      <w:pPr>
        <w:pStyle w:val="7"/>
        <w:numPr>
          <w:ilvl w:val="4"/>
          <w:numId w:val="16"/>
        </w:numPr>
      </w:pPr>
      <w:bookmarkStart w:id="467" w:name="_Toc112663872"/>
      <w:bookmarkStart w:id="468" w:name="_Toc147920843"/>
      <w:r>
        <w:rPr>
          <w:rFonts w:hint="eastAsia"/>
        </w:rPr>
        <w:t>住院收费系统</w:t>
      </w:r>
      <w:bookmarkEnd w:id="467"/>
      <w:bookmarkEnd w:id="468"/>
    </w:p>
    <w:p w14:paraId="2F21DC17">
      <w:pPr>
        <w:pStyle w:val="3"/>
      </w:pPr>
      <w:r>
        <w:rPr>
          <w:rFonts w:hint="eastAsia"/>
        </w:rPr>
        <w:t>住院收费系统主要针对住院患者信息以及收费结算的管理系统，通过系统进行病人入院登记、医保登记、预交金收退以及住院费用的结算收费。患者入院就诊后根据医生所开的入院证到收费处办理住院手续，系统支持通过扫码方式读取病人信息减少收费员的操作成本，依据患者情况进行医保信息登记及预交金缴纳。</w:t>
      </w:r>
      <w:r>
        <w:rPr>
          <w:rFonts w:hint="eastAsia" w:asciiTheme="minorEastAsia" w:hAnsiTheme="minorEastAsia" w:eastAsiaTheme="minorEastAsia"/>
        </w:rPr>
        <w:t>具备支持以下功能：</w:t>
      </w:r>
    </w:p>
    <w:p w14:paraId="5B98722C">
      <w:pPr>
        <w:pStyle w:val="8"/>
        <w:numPr>
          <w:ilvl w:val="5"/>
          <w:numId w:val="16"/>
        </w:numPr>
      </w:pPr>
      <w:r>
        <w:rPr>
          <w:rFonts w:hint="eastAsia"/>
        </w:rPr>
        <w:t>患者管理</w:t>
      </w:r>
    </w:p>
    <w:p w14:paraId="09302D8A">
      <w:pPr>
        <w:pStyle w:val="3"/>
      </w:pPr>
      <w:r>
        <w:rPr>
          <w:rFonts w:hint="eastAsia"/>
        </w:rPr>
        <w:t>住院收费系统的患者管理主要是针对患者的信息注册以及修改，是患者收入住院后的第一步，患者从门诊转入住院后进行入院登记。</w:t>
      </w:r>
    </w:p>
    <w:p w14:paraId="26EF72FE">
      <w:pPr>
        <w:pStyle w:val="3"/>
      </w:pPr>
      <w:r>
        <w:rPr>
          <w:rFonts w:hint="eastAsia"/>
        </w:rPr>
        <w:t>具体包括入院登记、住院信息修改、住院取消、病人注册。</w:t>
      </w:r>
    </w:p>
    <w:p w14:paraId="1442EFDC">
      <w:pPr>
        <w:pStyle w:val="8"/>
        <w:numPr>
          <w:ilvl w:val="5"/>
          <w:numId w:val="16"/>
        </w:numPr>
      </w:pPr>
      <w:r>
        <w:rPr>
          <w:rFonts w:hint="eastAsia"/>
        </w:rPr>
        <w:t>预交金</w:t>
      </w:r>
    </w:p>
    <w:p w14:paraId="135DCBB1">
      <w:pPr>
        <w:pStyle w:val="3"/>
      </w:pPr>
      <w:r>
        <w:rPr>
          <w:rFonts w:hint="eastAsia"/>
        </w:rPr>
        <w:t>医院的住院使用预交金模式进行做账，收费员在办理患者的入院登记后依据医生入院单建议收取患者的预交金作为后续的就诊费用，且系统会持续根据预交金的使用情况，当不足时能够及时通知病区护士，患者还可通过病区自助机或回到收费处进行预交金充值。</w:t>
      </w:r>
    </w:p>
    <w:p w14:paraId="2BE7FF32">
      <w:pPr>
        <w:pStyle w:val="3"/>
      </w:pPr>
      <w:r>
        <w:rPr>
          <w:rFonts w:hint="eastAsia"/>
        </w:rPr>
        <w:t>具体包括收预交金、退预交金、预交金查询、支付查询</w:t>
      </w:r>
    </w:p>
    <w:p w14:paraId="28F3C397">
      <w:pPr>
        <w:pStyle w:val="8"/>
        <w:numPr>
          <w:ilvl w:val="5"/>
          <w:numId w:val="16"/>
        </w:numPr>
      </w:pPr>
      <w:r>
        <w:rPr>
          <w:rFonts w:hint="eastAsia"/>
        </w:rPr>
        <w:t>结算管理</w:t>
      </w:r>
    </w:p>
    <w:p w14:paraId="2E954B3A">
      <w:pPr>
        <w:pStyle w:val="3"/>
      </w:pPr>
      <w:r>
        <w:rPr>
          <w:rFonts w:hint="eastAsia"/>
        </w:rPr>
        <w:t>出院结算是医院服务的最后环节，主要为病人办理出院手续，最后环节的顺利与否，往往更能够直接的影响病人及其家属对医院整个服务流程满意度的评价，对医院的声誉也会产生一定影响。因此，医院针对出院结算处理环节的管理也是相对比较重视的，系统的智能和可靠保障患者离院的最后服务，体现出医院管理的科学和规范。</w:t>
      </w:r>
    </w:p>
    <w:p w14:paraId="69C45CFF">
      <w:pPr>
        <w:pStyle w:val="3"/>
      </w:pPr>
      <w:r>
        <w:rPr>
          <w:rFonts w:hint="eastAsia"/>
        </w:rPr>
        <w:t>具体包括出院结算、中途结算、挂账结算、住院发票查询</w:t>
      </w:r>
    </w:p>
    <w:p w14:paraId="47220B1F">
      <w:pPr>
        <w:pStyle w:val="8"/>
        <w:numPr>
          <w:ilvl w:val="5"/>
          <w:numId w:val="16"/>
        </w:numPr>
      </w:pPr>
      <w:r>
        <w:rPr>
          <w:rFonts w:hint="eastAsia"/>
        </w:rPr>
        <w:t>费用管理</w:t>
      </w:r>
    </w:p>
    <w:p w14:paraId="4ADC6914">
      <w:pPr>
        <w:pStyle w:val="3"/>
      </w:pPr>
      <w:r>
        <w:rPr>
          <w:rFonts w:hint="eastAsia"/>
        </w:rPr>
        <w:t>费用管理模块主要是针对患者的费别以及单据扣费负责，根据医院管理运营方案允许通过系统自动设置患者的担保金额，以备患者不时之需，通过换位角度为患者提供有温度且便利的就医环境，让患者在危急时分感受医院的医者仁心。</w:t>
      </w:r>
    </w:p>
    <w:p w14:paraId="4E57F809">
      <w:pPr>
        <w:pStyle w:val="3"/>
      </w:pPr>
      <w:r>
        <w:rPr>
          <w:rFonts w:hint="eastAsia"/>
        </w:rPr>
        <w:t>具体包括住院费别转换、自动担保设置、住院病人担保、住院单据扣费</w:t>
      </w:r>
    </w:p>
    <w:p w14:paraId="686578F9">
      <w:pPr>
        <w:pStyle w:val="8"/>
        <w:numPr>
          <w:ilvl w:val="5"/>
          <w:numId w:val="16"/>
        </w:numPr>
      </w:pPr>
      <w:r>
        <w:rPr>
          <w:rFonts w:hint="eastAsia"/>
        </w:rPr>
        <w:t>统计查询</w:t>
      </w:r>
    </w:p>
    <w:p w14:paraId="07D71BEC">
      <w:pPr>
        <w:pStyle w:val="3"/>
      </w:pPr>
      <w:r>
        <w:rPr>
          <w:rFonts w:hint="eastAsia"/>
        </w:rPr>
        <w:t>患者在院期间的费用信息科通过系统查询，病区护士会根据医院管理规定在患者确定出院时打印清单数据用来核对费用以及特殊的保险报销使用，同时收费处也支持费用清单的查询，避免因时间差产生费用不一致的情况而要让患者再去寻求病区护士重新打印的烦恼。通过统计查询模块查看住院费用清单，允许以清单格式、每日清单、医保清单、未结算费用等维度进行清单数据查看和打印。</w:t>
      </w:r>
    </w:p>
    <w:p w14:paraId="461EB683">
      <w:pPr>
        <w:pStyle w:val="8"/>
        <w:numPr>
          <w:ilvl w:val="5"/>
          <w:numId w:val="16"/>
        </w:numPr>
      </w:pPr>
      <w:r>
        <w:rPr>
          <w:rFonts w:hint="eastAsia"/>
        </w:rPr>
        <w:t>结账管理</w:t>
      </w:r>
    </w:p>
    <w:p w14:paraId="4A5CA7DC">
      <w:pPr>
        <w:pStyle w:val="3"/>
      </w:pPr>
      <w:r>
        <w:rPr>
          <w:rFonts w:hint="eastAsia"/>
        </w:rPr>
        <w:t>依据医院收费管理方式，在收费员交接班时需要对当日的工作进行结账，保证每日结账的准确性，有问题及时发现。住院结账管理包括当日患者预交金、入院患者预交金、在院患者各项费用、出院患者结账和退款等账务处理。</w:t>
      </w:r>
    </w:p>
    <w:p w14:paraId="32998218">
      <w:pPr>
        <w:pStyle w:val="3"/>
      </w:pPr>
      <w:r>
        <w:rPr>
          <w:rFonts w:hint="eastAsia"/>
        </w:rPr>
        <w:t>具体包括住院结账、住院结账查询</w:t>
      </w:r>
    </w:p>
    <w:p w14:paraId="328127A2">
      <w:pPr>
        <w:pStyle w:val="8"/>
        <w:numPr>
          <w:ilvl w:val="5"/>
          <w:numId w:val="16"/>
        </w:numPr>
      </w:pPr>
      <w:r>
        <w:rPr>
          <w:rFonts w:hint="eastAsia"/>
        </w:rPr>
        <w:t>票据管理</w:t>
      </w:r>
    </w:p>
    <w:p w14:paraId="04F83F31">
      <w:pPr>
        <w:pStyle w:val="3"/>
      </w:pPr>
      <w:r>
        <w:rPr>
          <w:rFonts w:hint="eastAsia"/>
        </w:rPr>
        <w:t>医院针对住院的票据管理主要是发票和收据的管理领用，这两者的管理模块应用让纸质票据在系统中留存记录，便于后续工作的跟踪和掌控，在必要时刻也能够追溯每张发票的使用情况。</w:t>
      </w:r>
    </w:p>
    <w:p w14:paraId="06A74575">
      <w:pPr>
        <w:pStyle w:val="3"/>
      </w:pPr>
      <w:r>
        <w:rPr>
          <w:rFonts w:hint="eastAsia"/>
        </w:rPr>
        <w:t>具体包括住院收据管理、住院收据领用、住院发票管理、住院发票领用、票据查询。</w:t>
      </w:r>
    </w:p>
    <w:p w14:paraId="4915458D">
      <w:pPr>
        <w:pStyle w:val="7"/>
        <w:numPr>
          <w:ilvl w:val="4"/>
          <w:numId w:val="16"/>
        </w:numPr>
      </w:pPr>
      <w:bookmarkStart w:id="469" w:name="_Toc147920844"/>
      <w:r>
        <w:rPr>
          <w:rFonts w:hint="eastAsia"/>
        </w:rPr>
        <w:t>住院入出转管理</w:t>
      </w:r>
      <w:bookmarkEnd w:id="469"/>
    </w:p>
    <w:p w14:paraId="2E1DCFE5">
      <w:pPr>
        <w:pStyle w:val="3"/>
        <w:rPr>
          <w:rStyle w:val="52"/>
          <w:rFonts w:ascii="Times New Roman" w:hAnsi="Times New Roman"/>
        </w:rPr>
      </w:pPr>
      <w:r>
        <w:t>系统支持门诊医生看诊时，对需要住院治疗的患者，开具住院单收入住院。患者按照预定入院时间，到医院窗口办理入院登记，护士站办理入科登记。患者治愈或者需要转院，由医生开具出院通知，在护士站办理</w:t>
      </w:r>
      <w:r>
        <w:rPr>
          <w:rFonts w:hint="eastAsia"/>
        </w:rPr>
        <w:t>出院</w:t>
      </w:r>
      <w:r>
        <w:t>。</w:t>
      </w:r>
      <w:r>
        <w:rPr>
          <w:rFonts w:hint="eastAsia" w:asciiTheme="minorEastAsia" w:hAnsiTheme="minorEastAsia" w:eastAsiaTheme="minorEastAsia"/>
        </w:rPr>
        <w:t>具备支持以下功能：</w:t>
      </w:r>
    </w:p>
    <w:p w14:paraId="0A0D8F0E">
      <w:pPr>
        <w:pStyle w:val="8"/>
        <w:numPr>
          <w:ilvl w:val="5"/>
          <w:numId w:val="16"/>
        </w:numPr>
      </w:pPr>
      <w:r>
        <w:rPr>
          <w:rFonts w:hint="eastAsia"/>
        </w:rPr>
        <w:t>入院开单</w:t>
      </w:r>
    </w:p>
    <w:p w14:paraId="673D74B0">
      <w:pPr>
        <w:pStyle w:val="3"/>
        <w:rPr>
          <w:rStyle w:val="52"/>
          <w:szCs w:val="24"/>
        </w:rPr>
      </w:pPr>
      <w:r>
        <w:rPr>
          <w:rFonts w:hint="eastAsia"/>
        </w:rPr>
        <w:t>医生门诊诊病时，如果该患者需要入院治疗，可以在诊病页面开具入院单，填写患者基本入院基本信息，陪护亲属信息，并查看病区床位使用情况，预估提醒入院时间，（具体入院时间由病区护士通知）。</w:t>
      </w:r>
    </w:p>
    <w:p w14:paraId="3C643C18">
      <w:pPr>
        <w:pStyle w:val="8"/>
        <w:numPr>
          <w:ilvl w:val="5"/>
          <w:numId w:val="16"/>
        </w:numPr>
      </w:pPr>
      <w:r>
        <w:rPr>
          <w:rFonts w:hint="eastAsia"/>
        </w:rPr>
        <w:t>入院管理</w:t>
      </w:r>
    </w:p>
    <w:p w14:paraId="5EDEC197">
      <w:pPr>
        <w:pStyle w:val="3"/>
      </w:pPr>
      <w:r>
        <w:rPr>
          <w:rFonts w:hint="eastAsia"/>
        </w:rPr>
        <w:t>1</w:t>
      </w:r>
      <w:r>
        <w:t>.</w:t>
      </w:r>
      <w:r>
        <w:rPr>
          <w:rFonts w:hint="eastAsia"/>
        </w:rPr>
        <w:t>患者首先需要在窗口办理入院登记，登记住院信息，病人基本信息，大部分信息均由系统自动代入，窗口工作人员只需要补充其中的部分信息，例如预交金缴纳金额，保证窗口工作效率</w:t>
      </w:r>
    </w:p>
    <w:p w14:paraId="47236115">
      <w:pPr>
        <w:pStyle w:val="3"/>
      </w:pPr>
      <w:r>
        <w:rPr>
          <w:rFonts w:hint="eastAsia"/>
        </w:rPr>
        <w:t>2</w:t>
      </w:r>
      <w:r>
        <w:t>.</w:t>
      </w:r>
      <w:r>
        <w:rPr>
          <w:rFonts w:hint="eastAsia"/>
        </w:rPr>
        <w:t>入院登记后，患者因为某些原因不想办理入院的，系统也支持取消这部分患者入院</w:t>
      </w:r>
    </w:p>
    <w:p w14:paraId="27ECC03E">
      <w:pPr>
        <w:pStyle w:val="3"/>
      </w:pPr>
      <w:r>
        <w:rPr>
          <w:rFonts w:hint="eastAsia"/>
        </w:rPr>
        <w:t>3</w:t>
      </w:r>
      <w:r>
        <w:t>.</w:t>
      </w:r>
      <w:r>
        <w:rPr>
          <w:rFonts w:hint="eastAsia"/>
        </w:rPr>
        <w:t>患者入院登记办理后，即可到病区办理入科，护士登记患者主管医生、护士、床位等信息，并进行入科宣教，实现流程化入科办理</w:t>
      </w:r>
    </w:p>
    <w:p w14:paraId="069ACFAB">
      <w:pPr>
        <w:pStyle w:val="8"/>
        <w:numPr>
          <w:ilvl w:val="5"/>
          <w:numId w:val="16"/>
        </w:numPr>
      </w:pPr>
      <w:r>
        <w:rPr>
          <w:rFonts w:hint="eastAsia"/>
        </w:rPr>
        <w:t>出院管理</w:t>
      </w:r>
    </w:p>
    <w:p w14:paraId="50A7F2E0">
      <w:pPr>
        <w:pStyle w:val="3"/>
      </w:pPr>
      <w:r>
        <w:rPr>
          <w:rFonts w:hint="eastAsia"/>
        </w:rPr>
        <w:t>出院前，护士通过出院页面，对患者住院期间的事项进行一一核对，查看是否有未扣费项目、是否有未退药品或者费用、医嘱是否都已执行停止等，通过统一的页面审核、处理待出院患者医嘱、药品、费用等信息，提高护士办理出院效率。</w:t>
      </w:r>
    </w:p>
    <w:p w14:paraId="3DF28D04">
      <w:pPr>
        <w:pStyle w:val="7"/>
        <w:numPr>
          <w:ilvl w:val="4"/>
          <w:numId w:val="16"/>
        </w:numPr>
      </w:pPr>
      <w:bookmarkStart w:id="470" w:name="_Toc110505905"/>
      <w:bookmarkEnd w:id="470"/>
      <w:bookmarkStart w:id="471" w:name="_Toc110505065"/>
      <w:bookmarkEnd w:id="471"/>
      <w:bookmarkStart w:id="472" w:name="_Toc112405082"/>
      <w:bookmarkEnd w:id="472"/>
      <w:bookmarkStart w:id="473" w:name="_Toc147920845"/>
      <w:r>
        <w:rPr>
          <w:rFonts w:hint="eastAsia"/>
        </w:rPr>
        <w:t>住院医生工作站</w:t>
      </w:r>
      <w:bookmarkEnd w:id="473"/>
    </w:p>
    <w:p w14:paraId="2BA87721">
      <w:pPr>
        <w:pStyle w:val="3"/>
      </w:pPr>
      <w:r>
        <w:rPr>
          <w:rFonts w:hint="eastAsia" w:asciiTheme="minorEastAsia" w:hAnsiTheme="minorEastAsia" w:eastAsiaTheme="minorEastAsia"/>
        </w:rPr>
        <w:t>具备支持以下功能：</w:t>
      </w:r>
    </w:p>
    <w:p w14:paraId="12814777">
      <w:pPr>
        <w:pStyle w:val="8"/>
        <w:numPr>
          <w:ilvl w:val="5"/>
          <w:numId w:val="16"/>
        </w:numPr>
      </w:pPr>
      <w:r>
        <w:rPr>
          <w:rFonts w:hint="eastAsia"/>
        </w:rPr>
        <w:t>医嘱</w:t>
      </w:r>
      <w:r>
        <w:rPr>
          <w:rFonts w:hint="eastAsia"/>
          <w:lang w:eastAsia="zh-Hans"/>
        </w:rPr>
        <w:t>管理</w:t>
      </w:r>
    </w:p>
    <w:p w14:paraId="1BF65929">
      <w:pPr>
        <w:pStyle w:val="3"/>
      </w:pPr>
      <w:r>
        <w:rPr>
          <w:rFonts w:hint="eastAsia"/>
        </w:rPr>
        <w:t>实现住院用药、检查、检验、手术、治疗、输血等医嘱管理。具体功能包括:医嘱录入、检验检验申请、医嘱管理、医嘱打印以及医嘱校验。</w:t>
      </w:r>
    </w:p>
    <w:p w14:paraId="676DA753">
      <w:pPr>
        <w:pStyle w:val="9"/>
        <w:numPr>
          <w:ilvl w:val="6"/>
          <w:numId w:val="16"/>
        </w:numPr>
      </w:pPr>
      <w:r>
        <w:rPr>
          <w:rFonts w:hint="eastAsia"/>
        </w:rPr>
        <w:t>医嘱录入</w:t>
      </w:r>
    </w:p>
    <w:p w14:paraId="0CBC22C9">
      <w:pPr>
        <w:pStyle w:val="3"/>
      </w:pPr>
      <w:r>
        <w:rPr>
          <w:rFonts w:hint="eastAsia"/>
        </w:rPr>
        <w:t>支持长期医嘱和临时医嘱的录入，包括检查、检验、处方、治疗处置、卫生材料、手术、输血、护理、会诊、转科、出院等。</w:t>
      </w:r>
    </w:p>
    <w:p w14:paraId="1415EFBD">
      <w:pPr>
        <w:pStyle w:val="3"/>
      </w:pPr>
      <w:r>
        <w:rPr>
          <w:rFonts w:hint="eastAsia"/>
        </w:rPr>
        <w:t>支持将常用的医嘱项目作为一个医嘱模板保存，录入时可根据医嘱模板快速录入多个项目，支持对引用项目的项目代码有效性进行验证，能够对失效项目提示。</w:t>
      </w:r>
    </w:p>
    <w:p w14:paraId="0381FAAA">
      <w:pPr>
        <w:pStyle w:val="3"/>
      </w:pPr>
      <w:r>
        <w:rPr>
          <w:rFonts w:hint="eastAsia"/>
        </w:rPr>
        <w:t>所有医嘱均提供备注，医生可以输入相关注意事项。</w:t>
      </w:r>
    </w:p>
    <w:p w14:paraId="0714AE18">
      <w:pPr>
        <w:pStyle w:val="3"/>
      </w:pPr>
      <w:r>
        <w:rPr>
          <w:rFonts w:hint="eastAsia"/>
        </w:rPr>
        <w:t>支持根据医生的处方权、抗生素分级管理、特殊药品(毒麻、精神类等)权限、手术权限等判断是否能够开具对应医嘱。</w:t>
      </w:r>
    </w:p>
    <w:p w14:paraId="1FF2ECDC">
      <w:pPr>
        <w:pStyle w:val="3"/>
      </w:pPr>
      <w:r>
        <w:rPr>
          <w:rFonts w:hint="eastAsia"/>
        </w:rPr>
        <w:t>支持与合理用药与临床决策系统对接，在开医嘱时给予提示，如药品剂量、药品相互作用、配伍禁忌、适应证等的自动提醒与检索功能。</w:t>
      </w:r>
    </w:p>
    <w:p w14:paraId="4980BC7E">
      <w:pPr>
        <w:pStyle w:val="41"/>
        <w:spacing w:after="0"/>
        <w:ind w:left="0" w:leftChars="0" w:firstLine="480"/>
        <w:rPr>
          <w:rFonts w:ascii="宋体" w:hAnsi="宋体"/>
          <w:szCs w:val="24"/>
          <w:lang w:bidi="ar"/>
        </w:rPr>
      </w:pPr>
      <w:r>
        <w:rPr>
          <w:rFonts w:hint="eastAsia" w:ascii="宋体" w:hAnsi="宋体"/>
          <w:szCs w:val="24"/>
          <w:lang w:bidi="ar"/>
        </w:rPr>
        <w:t>系统支持在医生站开立医嘱时，选择医嘱开始时间的范围，根据实际需要选择当前时间之后的日期、时间。</w:t>
      </w:r>
    </w:p>
    <w:p w14:paraId="449B6EA8">
      <w:pPr>
        <w:pStyle w:val="10"/>
        <w:numPr>
          <w:ilvl w:val="7"/>
          <w:numId w:val="16"/>
        </w:numPr>
        <w:rPr>
          <w:lang w:bidi="ar"/>
        </w:rPr>
      </w:pPr>
      <w:r>
        <w:rPr>
          <w:rFonts w:hint="eastAsia"/>
          <w:lang w:bidi="ar"/>
        </w:rPr>
        <w:t>中药处方录入</w:t>
      </w:r>
    </w:p>
    <w:p w14:paraId="665D9695">
      <w:pPr>
        <w:ind w:firstLine="480" w:firstLineChars="200"/>
        <w:rPr>
          <w:kern w:val="0"/>
          <w:lang w:bidi="ar"/>
        </w:rPr>
      </w:pPr>
      <w:r>
        <w:rPr>
          <w:rFonts w:hint="eastAsia"/>
          <w:kern w:val="0"/>
          <w:lang w:bidi="ar"/>
        </w:rPr>
        <w:t>支持住院中药处方录入，包括药品名称、贴剂量、药品说明、中药材质、开始时间、剂数、用法用量、加工方式、配送方式、说明等，配送地址默认护理单元。可以将常用处方存为模板，支持通过调用模板、引用历史处方的方式实现处方的快速录入。</w:t>
      </w:r>
    </w:p>
    <w:p w14:paraId="7766F706">
      <w:pPr>
        <w:pStyle w:val="70"/>
        <w:numPr>
          <w:ilvl w:val="0"/>
          <w:numId w:val="46"/>
        </w:numPr>
        <w:ind w:firstLineChars="0"/>
        <w:rPr>
          <w:lang w:bidi="ar"/>
        </w:rPr>
      </w:pPr>
      <w:r>
        <w:rPr>
          <w:rFonts w:hint="eastAsia"/>
          <w:lang w:bidi="ar"/>
        </w:rPr>
        <w:t>药品字典录入</w:t>
      </w:r>
    </w:p>
    <w:p w14:paraId="0327ACE6">
      <w:pPr>
        <w:rPr>
          <w:lang w:bidi="ar"/>
        </w:rPr>
      </w:pPr>
      <w:r>
        <w:rPr>
          <w:rFonts w:hint="eastAsia"/>
        </w:rPr>
        <w:t>可自动获取中草药药品字典，查看药品名称、药品标识、规格、剂型、零售价、零售单位，支持模糊检索、拼音首字母或中文检索药品名称，选中药品名称时，可查看当前药品各药房库存信息。</w:t>
      </w:r>
    </w:p>
    <w:p w14:paraId="1FE17AF6">
      <w:pPr>
        <w:pStyle w:val="70"/>
        <w:numPr>
          <w:ilvl w:val="0"/>
          <w:numId w:val="46"/>
        </w:numPr>
        <w:ind w:firstLineChars="0"/>
        <w:rPr>
          <w:lang w:bidi="ar"/>
        </w:rPr>
      </w:pPr>
      <w:r>
        <w:rPr>
          <w:rFonts w:hint="eastAsia"/>
          <w:lang w:bidi="ar"/>
        </w:rPr>
        <w:t>模板引用录入</w:t>
      </w:r>
    </w:p>
    <w:p w14:paraId="76CC0592">
      <w:pPr>
        <w:pStyle w:val="70"/>
        <w:ind w:firstLine="480"/>
      </w:pPr>
      <w:r>
        <w:rPr>
          <w:rFonts w:hint="eastAsia"/>
          <w:kern w:val="0"/>
          <w:lang w:bidi="ar"/>
        </w:rPr>
        <w:t>医生可以提前维护中药处方模板，或在开具处方时将药品名称、贴剂量、单位、材质、帖数、用法用量、处方制法及配送方式等信息另存为处方模板，在下次开具中药处方时可以一键引用中药处方</w:t>
      </w:r>
      <w:r>
        <w:rPr>
          <w:rFonts w:hint="eastAsia"/>
        </w:rPr>
        <w:t>模板的药品信息。也可以查看患者的历史中药处方，包括门诊历史处方或住院历史处方，支持一键引用药品名称、贴剂量、单位、材质、配送方式、用法、用量等信息，减少处方开具时间。</w:t>
      </w:r>
    </w:p>
    <w:p w14:paraId="13FACDDB">
      <w:pPr>
        <w:pStyle w:val="10"/>
        <w:numPr>
          <w:ilvl w:val="7"/>
          <w:numId w:val="16"/>
        </w:numPr>
        <w:rPr>
          <w:lang w:bidi="ar"/>
        </w:rPr>
      </w:pPr>
      <w:r>
        <w:rPr>
          <w:rFonts w:hint="eastAsia"/>
          <w:lang w:bidi="ar"/>
        </w:rPr>
        <w:t>中药出院带药</w:t>
      </w:r>
    </w:p>
    <w:p w14:paraId="2C4D9D49">
      <w:pPr>
        <w:ind w:firstLine="480" w:firstLineChars="200"/>
      </w:pPr>
      <w:r>
        <w:rPr>
          <w:rFonts w:hint="eastAsia"/>
          <w:lang w:bidi="ar"/>
        </w:rPr>
        <w:t>支持中药出院处方录入，包括药品名称、贴剂量、药品说明、中药材质、剂数、用法用量、加工方式、配送方式、说明等。可以将常用处方存为模板，支持通过调用模板、引用历史处方的方式实现处方的快速录入。</w:t>
      </w:r>
      <w:r>
        <w:rPr>
          <w:rFonts w:hint="eastAsia"/>
        </w:rPr>
        <w:t>支持选择不同的配送地址。</w:t>
      </w:r>
    </w:p>
    <w:p w14:paraId="4B75BC08">
      <w:pPr>
        <w:pStyle w:val="70"/>
        <w:numPr>
          <w:ilvl w:val="0"/>
          <w:numId w:val="47"/>
        </w:numPr>
        <w:ind w:firstLineChars="0"/>
      </w:pPr>
      <w:r>
        <w:rPr>
          <w:rFonts w:hint="eastAsia"/>
        </w:rPr>
        <w:t>药品字典录入</w:t>
      </w:r>
    </w:p>
    <w:p w14:paraId="4F4BC2D5">
      <w:pPr>
        <w:pStyle w:val="70"/>
        <w:ind w:firstLine="480"/>
      </w:pPr>
      <w:r>
        <w:rPr>
          <w:rFonts w:hint="eastAsia"/>
        </w:rPr>
        <w:t>可自动获取中药药品字典，查看药品名称、药品标识、规格、剂型、零售价、零售单位，支持模糊检索、拼音首字母或中文检索药品名称，选中药品名称时，可查看当前药品各药房库存信息。</w:t>
      </w:r>
    </w:p>
    <w:p w14:paraId="6FA7FD2C">
      <w:pPr>
        <w:pStyle w:val="70"/>
        <w:numPr>
          <w:ilvl w:val="0"/>
          <w:numId w:val="47"/>
        </w:numPr>
        <w:ind w:firstLineChars="0"/>
      </w:pPr>
      <w:r>
        <w:rPr>
          <w:rFonts w:hint="eastAsia"/>
        </w:rPr>
        <w:t>模板引用录入</w:t>
      </w:r>
    </w:p>
    <w:p w14:paraId="65AA545C">
      <w:pPr>
        <w:pStyle w:val="70"/>
        <w:ind w:firstLine="480"/>
      </w:pPr>
      <w:r>
        <w:rPr>
          <w:rFonts w:hint="eastAsia"/>
        </w:rPr>
        <w:t>医生可以提前维护中药处方模板，或在开具处方时将药品名称、贴剂量、单位、材质、帖数、用法用量、处方制法及配送方式等信息另存为处方模板，在下次开具中药处方时可以一键引用中药处方模板的药品信息。也可以查看患者的历史中药处方，包括门诊历史处方或住院历史处方，支持一键引用药品名称、贴剂量、单位、材质、配送方式、用法、用量等信息，减少处方开具时间。</w:t>
      </w:r>
    </w:p>
    <w:p w14:paraId="44443093">
      <w:pPr>
        <w:pStyle w:val="70"/>
        <w:numPr>
          <w:ilvl w:val="0"/>
          <w:numId w:val="47"/>
        </w:numPr>
        <w:ind w:firstLineChars="0"/>
        <w:rPr>
          <w:lang w:bidi="ar"/>
        </w:rPr>
      </w:pPr>
      <w:r>
        <w:rPr>
          <w:rFonts w:hint="eastAsia"/>
          <w:lang w:bidi="ar"/>
        </w:rPr>
        <w:t>配送地址管理</w:t>
      </w:r>
    </w:p>
    <w:p w14:paraId="273DE354">
      <w:pPr>
        <w:pStyle w:val="70"/>
        <w:ind w:firstLine="480"/>
        <w:rPr>
          <w:lang w:bidi="ar"/>
        </w:rPr>
      </w:pPr>
      <w:r>
        <w:rPr>
          <w:rFonts w:hint="eastAsia"/>
          <w:lang w:bidi="ar"/>
        </w:rPr>
        <w:t>支持维护不同的配送地址，也可设置默认地址。</w:t>
      </w:r>
    </w:p>
    <w:p w14:paraId="23552137">
      <w:pPr>
        <w:pStyle w:val="9"/>
        <w:numPr>
          <w:ilvl w:val="6"/>
          <w:numId w:val="16"/>
        </w:numPr>
      </w:pPr>
      <w:r>
        <w:rPr>
          <w:rFonts w:hint="eastAsia"/>
        </w:rPr>
        <w:t>检验、检查申请单</w:t>
      </w:r>
    </w:p>
    <w:p w14:paraId="2B9EC402">
      <w:pPr>
        <w:pStyle w:val="3"/>
      </w:pPr>
      <w:r>
        <w:rPr>
          <w:rFonts w:hint="eastAsia"/>
        </w:rPr>
        <w:t>支持检查检验医嘱自动生成对应申请单并提示用户填写，申请单中的主诉、现病史等基本信息支持从病历中可自动获取填充。</w:t>
      </w:r>
    </w:p>
    <w:p w14:paraId="4254ED48">
      <w:pPr>
        <w:pStyle w:val="9"/>
        <w:numPr>
          <w:ilvl w:val="6"/>
          <w:numId w:val="16"/>
        </w:numPr>
      </w:pPr>
      <w:r>
        <w:rPr>
          <w:rFonts w:hint="eastAsia"/>
        </w:rPr>
        <w:t>医嘱管理</w:t>
      </w:r>
    </w:p>
    <w:p w14:paraId="4809EECC">
      <w:pPr>
        <w:pStyle w:val="3"/>
      </w:pPr>
      <w:r>
        <w:rPr>
          <w:rFonts w:hint="eastAsia"/>
        </w:rPr>
        <w:t>支持对医嘱进行作废或停止申请，护士可接收申请并审核，审核后医嘱不能被执行。</w:t>
      </w:r>
    </w:p>
    <w:p w14:paraId="38DA1D07">
      <w:pPr>
        <w:pStyle w:val="41"/>
        <w:spacing w:after="0"/>
        <w:ind w:left="0" w:leftChars="0" w:firstLine="480"/>
        <w:rPr>
          <w:rFonts w:ascii="宋体" w:hAnsi="宋体"/>
          <w:szCs w:val="24"/>
          <w:lang w:bidi="ar"/>
        </w:rPr>
      </w:pPr>
      <w:r>
        <w:rPr>
          <w:rFonts w:hint="eastAsia" w:ascii="宋体" w:hAnsi="宋体"/>
          <w:szCs w:val="24"/>
          <w:lang w:bidi="ar"/>
        </w:rPr>
        <w:t>系统支持在停止医嘱的操作窗口中，由医生选择停止时间，该时间可以是已经停止的医嘱的实际停止时间，也可以是计划停止的时间。</w:t>
      </w:r>
    </w:p>
    <w:p w14:paraId="27AB7697">
      <w:pPr>
        <w:pStyle w:val="3"/>
      </w:pPr>
      <w:r>
        <w:rPr>
          <w:rFonts w:hint="eastAsia"/>
        </w:rPr>
        <w:t>相关部门接收并查询患者相关的检查、检验、诊断、处方、治疗处理、手术、输血、转科、出院等诊疗信息以及相关的费用信息，在医嘱有效的状态下对医嘱进行执行操作，医嘱执行后医生不能再对医嘱进行作废，医嘱执行时自动计费。</w:t>
      </w:r>
    </w:p>
    <w:p w14:paraId="426C1C1A">
      <w:pPr>
        <w:pStyle w:val="9"/>
        <w:numPr>
          <w:ilvl w:val="6"/>
          <w:numId w:val="16"/>
        </w:numPr>
      </w:pPr>
      <w:r>
        <w:rPr>
          <w:rFonts w:hint="eastAsia"/>
        </w:rPr>
        <w:t>医嘱打印</w:t>
      </w:r>
    </w:p>
    <w:p w14:paraId="0AF686CE">
      <w:pPr>
        <w:pStyle w:val="3"/>
      </w:pPr>
      <w:r>
        <w:rPr>
          <w:rFonts w:hint="eastAsia"/>
        </w:rPr>
        <w:t>提供长期医嘱、临时医嘱打印功能，支持医嘱单的部分选择打印、按页数打印、续打、重打。</w:t>
      </w:r>
    </w:p>
    <w:p w14:paraId="58B9687C">
      <w:pPr>
        <w:pStyle w:val="9"/>
        <w:numPr>
          <w:ilvl w:val="6"/>
          <w:numId w:val="16"/>
        </w:numPr>
      </w:pPr>
      <w:r>
        <w:rPr>
          <w:rFonts w:hint="eastAsia"/>
        </w:rPr>
        <w:t>医嘱校验</w:t>
      </w:r>
    </w:p>
    <w:p w14:paraId="52A7A53B">
      <w:pPr>
        <w:pStyle w:val="3"/>
      </w:pPr>
      <w:r>
        <w:rPr>
          <w:rFonts w:hint="eastAsia"/>
        </w:rPr>
        <w:t>可配置诊疗项目校验规则，例如项目性别限制、项目是否允许重复开具等校验规则，支持在医嘱发送时进行规则校验并提示。</w:t>
      </w:r>
    </w:p>
    <w:p w14:paraId="25255DC2">
      <w:pPr>
        <w:pStyle w:val="8"/>
        <w:numPr>
          <w:ilvl w:val="5"/>
          <w:numId w:val="16"/>
        </w:numPr>
      </w:pPr>
      <w:r>
        <w:rPr>
          <w:rFonts w:hint="eastAsia"/>
        </w:rPr>
        <w:t>审批管理</w:t>
      </w:r>
    </w:p>
    <w:p w14:paraId="23B0282D">
      <w:pPr>
        <w:pStyle w:val="3"/>
      </w:pPr>
      <w:r>
        <w:rPr>
          <w:rFonts w:hint="eastAsia"/>
        </w:rPr>
        <w:t>实现各类医疗流程的审批管理，支持审批类型有：会诊审批、用血审批、自备药审批等。</w:t>
      </w:r>
    </w:p>
    <w:p w14:paraId="55806D3A">
      <w:pPr>
        <w:pStyle w:val="3"/>
      </w:pPr>
      <w:r>
        <w:rPr>
          <w:rFonts w:hint="eastAsia"/>
        </w:rPr>
        <w:t>提供审批工作流配置模块，能够支持医院各类特有的审批流程配置。</w:t>
      </w:r>
    </w:p>
    <w:p w14:paraId="104BD50E">
      <w:pPr>
        <w:pStyle w:val="8"/>
        <w:numPr>
          <w:ilvl w:val="5"/>
          <w:numId w:val="16"/>
        </w:numPr>
      </w:pPr>
      <w:r>
        <w:rPr>
          <w:rFonts w:hint="eastAsia"/>
        </w:rPr>
        <w:t>费用管理</w:t>
      </w:r>
    </w:p>
    <w:p w14:paraId="16C49E78">
      <w:pPr>
        <w:pStyle w:val="3"/>
      </w:pPr>
      <w:r>
        <w:rPr>
          <w:rFonts w:hint="eastAsia"/>
        </w:rPr>
        <w:t>费用管理有住院病人费用担保、住院单据扣费和住院退费管理等功能。</w:t>
      </w:r>
    </w:p>
    <w:p w14:paraId="0FF3C389">
      <w:pPr>
        <w:pStyle w:val="8"/>
        <w:numPr>
          <w:ilvl w:val="5"/>
          <w:numId w:val="16"/>
        </w:numPr>
      </w:pPr>
      <w:r>
        <w:rPr>
          <w:rFonts w:hint="eastAsia"/>
        </w:rPr>
        <w:t>患者管理</w:t>
      </w:r>
    </w:p>
    <w:p w14:paraId="53C40F41">
      <w:pPr>
        <w:pStyle w:val="3"/>
      </w:pPr>
      <w:r>
        <w:rPr>
          <w:rFonts w:hint="eastAsia"/>
        </w:rPr>
        <w:t>实现患者床位导航、患者陪护以及GCP病人登记等功能。</w:t>
      </w:r>
    </w:p>
    <w:p w14:paraId="692E4D6F">
      <w:pPr>
        <w:pStyle w:val="8"/>
        <w:numPr>
          <w:ilvl w:val="5"/>
          <w:numId w:val="16"/>
        </w:numPr>
      </w:pPr>
      <w:r>
        <w:rPr>
          <w:rFonts w:hint="eastAsia"/>
        </w:rPr>
        <w:t>数据管理</w:t>
      </w:r>
    </w:p>
    <w:p w14:paraId="4C204ADB">
      <w:pPr>
        <w:pStyle w:val="3"/>
      </w:pPr>
      <w:r>
        <w:rPr>
          <w:rFonts w:hint="eastAsia"/>
        </w:rPr>
        <w:t>数据管理实现自定义模板维护和管理、医疗组维护、附属账号管理、自定义诊断和手术等功能。</w:t>
      </w:r>
    </w:p>
    <w:p w14:paraId="2C572090">
      <w:pPr>
        <w:pStyle w:val="7"/>
        <w:numPr>
          <w:ilvl w:val="4"/>
          <w:numId w:val="16"/>
        </w:numPr>
      </w:pPr>
      <w:bookmarkStart w:id="474" w:name="_Toc147920846"/>
      <w:r>
        <w:rPr>
          <w:rFonts w:hint="eastAsia"/>
        </w:rPr>
        <w:t>住院护士工作站</w:t>
      </w:r>
      <w:bookmarkEnd w:id="474"/>
    </w:p>
    <w:p w14:paraId="214C8AF8">
      <w:pPr>
        <w:pStyle w:val="3"/>
      </w:pPr>
      <w:r>
        <w:rPr>
          <w:rFonts w:hint="eastAsia" w:asciiTheme="minorEastAsia" w:hAnsiTheme="minorEastAsia" w:eastAsiaTheme="minorEastAsia"/>
        </w:rPr>
        <w:t>具备支持以下功能：</w:t>
      </w:r>
    </w:p>
    <w:p w14:paraId="7A4990EE">
      <w:pPr>
        <w:pStyle w:val="8"/>
        <w:numPr>
          <w:ilvl w:val="5"/>
          <w:numId w:val="16"/>
        </w:numPr>
      </w:pPr>
      <w:r>
        <w:rPr>
          <w:rFonts w:hint="eastAsia"/>
        </w:rPr>
        <w:t>医嘱管理</w:t>
      </w:r>
    </w:p>
    <w:p w14:paraId="0A7F4ECB">
      <w:pPr>
        <w:pStyle w:val="9"/>
        <w:numPr>
          <w:ilvl w:val="6"/>
          <w:numId w:val="16"/>
        </w:numPr>
      </w:pPr>
      <w:r>
        <w:rPr>
          <w:rFonts w:hint="eastAsia"/>
        </w:rPr>
        <w:t>医嘱处理</w:t>
      </w:r>
    </w:p>
    <w:p w14:paraId="6477566A">
      <w:pPr>
        <w:pStyle w:val="3"/>
      </w:pPr>
      <w:r>
        <w:rPr>
          <w:rFonts w:hint="eastAsia"/>
        </w:rPr>
        <w:t>提供医嘱统一处理界面，无需反复切换系统，支持在一个页面下进行医嘱校对、医嘱申请、用药打印、护理打印、医嘱查询、停嘱审核、作废审核、费用处理等护理日常工作。</w:t>
      </w:r>
    </w:p>
    <w:p w14:paraId="07E24B57">
      <w:pPr>
        <w:pStyle w:val="3"/>
      </w:pPr>
      <w:r>
        <w:rPr>
          <w:rFonts w:hint="eastAsia"/>
        </w:rPr>
        <w:t>支持同时对全区多个病人的医嘱一起显示与处理，可根据用户所选的医嘱批量进行校对和申请执行等操作。</w:t>
      </w:r>
    </w:p>
    <w:p w14:paraId="6514FC4D">
      <w:pPr>
        <w:pStyle w:val="9"/>
        <w:numPr>
          <w:ilvl w:val="6"/>
          <w:numId w:val="16"/>
        </w:numPr>
      </w:pPr>
      <w:r>
        <w:rPr>
          <w:rFonts w:hint="eastAsia"/>
        </w:rPr>
        <w:t>医嘱校对</w:t>
      </w:r>
    </w:p>
    <w:p w14:paraId="73C39C28">
      <w:pPr>
        <w:pStyle w:val="3"/>
      </w:pPr>
      <w:r>
        <w:rPr>
          <w:rFonts w:hint="eastAsia"/>
        </w:rPr>
        <w:t>支持长期医嘱和临时医嘱进行分开校对，校对时能够根据患者情况进行校对判断，例如患者有皮试但未登记皮试结果不能校对正确等。</w:t>
      </w:r>
    </w:p>
    <w:p w14:paraId="2E133078">
      <w:pPr>
        <w:pStyle w:val="3"/>
      </w:pPr>
      <w:r>
        <w:rPr>
          <w:rFonts w:hint="eastAsia"/>
        </w:rPr>
        <w:t>校对医嘱时能够根据长期医嘱的频次自动拆分成多天的摆药单。</w:t>
      </w:r>
    </w:p>
    <w:p w14:paraId="3CD52FC9">
      <w:pPr>
        <w:pStyle w:val="3"/>
      </w:pPr>
      <w:r>
        <w:rPr>
          <w:rFonts w:hint="eastAsia"/>
        </w:rPr>
        <w:t>支持根据医嘱属性、病人状态等条件筛选医嘱进行查看和校对，支持母亲和婴儿的医嘱分开校对，多胎情况下可以查看和校对指定胎的医嘱。</w:t>
      </w:r>
    </w:p>
    <w:p w14:paraId="2E75247B">
      <w:pPr>
        <w:pStyle w:val="3"/>
      </w:pPr>
      <w:r>
        <w:rPr>
          <w:rFonts w:hint="eastAsia"/>
        </w:rPr>
        <w:t>支持校对时对有问题的医嘱回退给医生。</w:t>
      </w:r>
    </w:p>
    <w:p w14:paraId="33D7FCF1">
      <w:pPr>
        <w:pStyle w:val="3"/>
      </w:pPr>
      <w:r>
        <w:rPr>
          <w:rFonts w:hint="eastAsia"/>
        </w:rPr>
        <w:t>支持对全区多个病人的医嘱批量进行校对。</w:t>
      </w:r>
    </w:p>
    <w:p w14:paraId="133028B3">
      <w:pPr>
        <w:pStyle w:val="9"/>
        <w:numPr>
          <w:ilvl w:val="6"/>
          <w:numId w:val="16"/>
        </w:numPr>
      </w:pPr>
      <w:r>
        <w:rPr>
          <w:rFonts w:hint="eastAsia"/>
        </w:rPr>
        <w:t>医嘱申请执行</w:t>
      </w:r>
    </w:p>
    <w:p w14:paraId="038D4CC5">
      <w:pPr>
        <w:pStyle w:val="3"/>
      </w:pPr>
      <w:r>
        <w:rPr>
          <w:rFonts w:hint="eastAsia"/>
        </w:rPr>
        <w:t>支持对药品和非药品分开申请执行，药品类支持修改发药药房以及用药方法。</w:t>
      </w:r>
    </w:p>
    <w:p w14:paraId="68F43377">
      <w:pPr>
        <w:pStyle w:val="3"/>
      </w:pPr>
      <w:r>
        <w:rPr>
          <w:rFonts w:hint="eastAsia"/>
        </w:rPr>
        <w:t>支持添加执行医嘱需要附加的费用项目，例如输液接瓶费等，可将常用项目配置为模板，下次可使用模板快速添加。</w:t>
      </w:r>
    </w:p>
    <w:p w14:paraId="3985DAD5">
      <w:pPr>
        <w:pStyle w:val="3"/>
      </w:pPr>
      <w:r>
        <w:rPr>
          <w:rFonts w:hint="eastAsia"/>
        </w:rPr>
        <w:t>支持通过药品、非药品、性质、剂型、药房、按需给药、用药日期、胎数等进行过滤显示医嘱。</w:t>
      </w:r>
    </w:p>
    <w:p w14:paraId="76045089">
      <w:pPr>
        <w:pStyle w:val="9"/>
        <w:numPr>
          <w:ilvl w:val="6"/>
          <w:numId w:val="16"/>
        </w:numPr>
      </w:pPr>
      <w:r>
        <w:rPr>
          <w:rFonts w:hint="eastAsia"/>
        </w:rPr>
        <w:t>医嘱查询</w:t>
      </w:r>
    </w:p>
    <w:p w14:paraId="3BEC44C3">
      <w:pPr>
        <w:pStyle w:val="3"/>
      </w:pPr>
      <w:r>
        <w:rPr>
          <w:rFonts w:hint="eastAsia"/>
        </w:rPr>
        <w:t>支持按照病人以及医嘱状态查询病人所有医嘱信息，支持直接进行医嘱打印。</w:t>
      </w:r>
    </w:p>
    <w:p w14:paraId="5E4F8CE3">
      <w:pPr>
        <w:pStyle w:val="9"/>
        <w:numPr>
          <w:ilvl w:val="6"/>
          <w:numId w:val="16"/>
        </w:numPr>
      </w:pPr>
      <w:r>
        <w:rPr>
          <w:rFonts w:hint="eastAsia"/>
        </w:rPr>
        <w:t>停嘱审核</w:t>
      </w:r>
    </w:p>
    <w:p w14:paraId="46FEC4C0">
      <w:pPr>
        <w:pStyle w:val="3"/>
      </w:pPr>
      <w:r>
        <w:rPr>
          <w:rFonts w:hint="eastAsia"/>
        </w:rPr>
        <w:t>支持对医生提交的患者在执行的医嘱的停嘱申请进行审核，支持回退审核申请。</w:t>
      </w:r>
    </w:p>
    <w:p w14:paraId="6AF69B38">
      <w:pPr>
        <w:pStyle w:val="3"/>
      </w:pPr>
      <w:r>
        <w:rPr>
          <w:rFonts w:hint="eastAsia"/>
        </w:rPr>
        <w:t>系统支持自动过滤待审核患者给护士。</w:t>
      </w:r>
    </w:p>
    <w:p w14:paraId="0723023D">
      <w:pPr>
        <w:pStyle w:val="9"/>
        <w:numPr>
          <w:ilvl w:val="6"/>
          <w:numId w:val="16"/>
        </w:numPr>
      </w:pPr>
      <w:r>
        <w:rPr>
          <w:rFonts w:hint="eastAsia"/>
        </w:rPr>
        <w:t>作废医嘱审核</w:t>
      </w:r>
    </w:p>
    <w:p w14:paraId="36BEDBF3">
      <w:pPr>
        <w:pStyle w:val="3"/>
      </w:pPr>
      <w:r>
        <w:rPr>
          <w:rFonts w:hint="eastAsia"/>
        </w:rPr>
        <w:t>支持对医生提交的患者在执行的医嘱的作废申请进行审核，支持回退审核申请。</w:t>
      </w:r>
    </w:p>
    <w:p w14:paraId="1A69FDCD">
      <w:pPr>
        <w:pStyle w:val="3"/>
      </w:pPr>
      <w:r>
        <w:rPr>
          <w:rFonts w:hint="eastAsia"/>
        </w:rPr>
        <w:t>系统支持自动过滤待审核患者给护士。</w:t>
      </w:r>
    </w:p>
    <w:p w14:paraId="70B2DBED">
      <w:pPr>
        <w:pStyle w:val="8"/>
        <w:numPr>
          <w:ilvl w:val="5"/>
          <w:numId w:val="16"/>
        </w:numPr>
      </w:pPr>
      <w:r>
        <w:rPr>
          <w:rFonts w:hint="eastAsia"/>
        </w:rPr>
        <w:t>床位管理</w:t>
      </w:r>
    </w:p>
    <w:p w14:paraId="6917E989">
      <w:pPr>
        <w:pStyle w:val="9"/>
        <w:numPr>
          <w:ilvl w:val="6"/>
          <w:numId w:val="16"/>
        </w:numPr>
      </w:pPr>
      <w:r>
        <w:rPr>
          <w:rFonts w:hint="eastAsia"/>
        </w:rPr>
        <w:t>床位管理</w:t>
      </w:r>
    </w:p>
    <w:p w14:paraId="31D7FAA6">
      <w:pPr>
        <w:pStyle w:val="3"/>
      </w:pPr>
      <w:r>
        <w:rPr>
          <w:rFonts w:hint="eastAsia"/>
        </w:rPr>
        <w:t>支持维护本病区床位的床位号、床位类型、床位等级、属性、清洁状态、隔离状态、房间号、地理位置、排序号等信息。</w:t>
      </w:r>
    </w:p>
    <w:p w14:paraId="6D6909CD">
      <w:pPr>
        <w:pStyle w:val="3"/>
      </w:pPr>
      <w:r>
        <w:rPr>
          <w:rFonts w:hint="eastAsia"/>
        </w:rPr>
        <w:t>支持查看和维护床位费属性以及床位绑定的费用项目。</w:t>
      </w:r>
    </w:p>
    <w:p w14:paraId="18C47523">
      <w:pPr>
        <w:pStyle w:val="3"/>
      </w:pPr>
      <w:r>
        <w:rPr>
          <w:rFonts w:hint="eastAsia"/>
        </w:rPr>
        <w:t>可根据床位属性等条件筛选查询床位信息。</w:t>
      </w:r>
    </w:p>
    <w:p w14:paraId="704B5DF4">
      <w:pPr>
        <w:pStyle w:val="9"/>
        <w:numPr>
          <w:ilvl w:val="6"/>
          <w:numId w:val="16"/>
        </w:numPr>
      </w:pPr>
      <w:r>
        <w:rPr>
          <w:rFonts w:hint="eastAsia"/>
        </w:rPr>
        <w:t>床位导航</w:t>
      </w:r>
    </w:p>
    <w:p w14:paraId="222EF547">
      <w:pPr>
        <w:pStyle w:val="3"/>
        <w:ind w:firstLine="440"/>
      </w:pPr>
      <w:r>
        <w:rPr>
          <w:rFonts w:hint="eastAsia" w:cs="宋体"/>
          <w:color w:val="000000"/>
          <w:kern w:val="0"/>
          <w:sz w:val="22"/>
          <w:szCs w:val="22"/>
          <w:lang w:bidi="ar"/>
        </w:rPr>
        <w:t>▲</w:t>
      </w:r>
      <w:r>
        <w:rPr>
          <w:rFonts w:hint="eastAsia"/>
        </w:rPr>
        <w:t>提供床位导航展示页面，显示患者的护理等级、患者入出转状态、护理评估结果、手术状态等信息，支持在导航上快速进入业务处理界面，例如患者转科、出院等业务界面。（提供系统截图证明）</w:t>
      </w:r>
    </w:p>
    <w:p w14:paraId="4C32867C">
      <w:pPr>
        <w:pStyle w:val="8"/>
        <w:numPr>
          <w:ilvl w:val="5"/>
          <w:numId w:val="16"/>
        </w:numPr>
      </w:pPr>
      <w:r>
        <w:rPr>
          <w:rFonts w:hint="eastAsia"/>
        </w:rPr>
        <w:t>费用管理</w:t>
      </w:r>
    </w:p>
    <w:p w14:paraId="6652D612">
      <w:pPr>
        <w:pStyle w:val="9"/>
        <w:numPr>
          <w:ilvl w:val="6"/>
          <w:numId w:val="16"/>
        </w:numPr>
      </w:pPr>
      <w:r>
        <w:rPr>
          <w:rFonts w:hint="eastAsia"/>
        </w:rPr>
        <w:t>住院单据扣费</w:t>
      </w:r>
    </w:p>
    <w:p w14:paraId="2EB2193C">
      <w:pPr>
        <w:pStyle w:val="3"/>
      </w:pPr>
      <w:r>
        <w:rPr>
          <w:rFonts w:hint="eastAsia"/>
        </w:rPr>
        <w:t>支持查看用药的各种材料费、诊疗费等需要扣费的项目并进行直接扣费。</w:t>
      </w:r>
    </w:p>
    <w:p w14:paraId="3FA4DABA">
      <w:pPr>
        <w:pStyle w:val="3"/>
      </w:pPr>
      <w:r>
        <w:rPr>
          <w:rFonts w:hint="eastAsia"/>
        </w:rPr>
        <w:t>支持新增诊疗或材料费用项目单据，可将常用项目配置成单据模板，下次可使用单据快速新增。</w:t>
      </w:r>
    </w:p>
    <w:p w14:paraId="6E9239DD">
      <w:pPr>
        <w:pStyle w:val="3"/>
      </w:pPr>
      <w:r>
        <w:rPr>
          <w:rFonts w:hint="eastAsia"/>
        </w:rPr>
        <w:t>支持对皮试单据进行皮试结果登记，可根据皮试结果控制是否执行单据。</w:t>
      </w:r>
    </w:p>
    <w:p w14:paraId="0C5EC896">
      <w:pPr>
        <w:pStyle w:val="9"/>
        <w:numPr>
          <w:ilvl w:val="6"/>
          <w:numId w:val="16"/>
        </w:numPr>
      </w:pPr>
      <w:r>
        <w:rPr>
          <w:rFonts w:hint="eastAsia"/>
        </w:rPr>
        <w:t>住院退费管理</w:t>
      </w:r>
    </w:p>
    <w:p w14:paraId="47CD7AA6">
      <w:pPr>
        <w:pStyle w:val="3"/>
      </w:pPr>
      <w:r>
        <w:rPr>
          <w:rFonts w:hint="eastAsia"/>
        </w:rPr>
        <w:t>支持按照需要退费的数量进行退费单开具，执行科室审核后可进行退费，支持退费单状态查询。</w:t>
      </w:r>
    </w:p>
    <w:p w14:paraId="08E111CE">
      <w:pPr>
        <w:pStyle w:val="9"/>
        <w:numPr>
          <w:ilvl w:val="6"/>
          <w:numId w:val="16"/>
        </w:numPr>
      </w:pPr>
      <w:r>
        <w:rPr>
          <w:rFonts w:hint="eastAsia"/>
        </w:rPr>
        <w:t>预交金预警</w:t>
      </w:r>
    </w:p>
    <w:p w14:paraId="4A32915D">
      <w:pPr>
        <w:pStyle w:val="3"/>
      </w:pPr>
      <w:r>
        <w:rPr>
          <w:rFonts w:hint="eastAsia"/>
        </w:rPr>
        <w:t>支持查询当前病区的患者预交金信息。</w:t>
      </w:r>
    </w:p>
    <w:p w14:paraId="5B6A9DF9">
      <w:pPr>
        <w:pStyle w:val="3"/>
      </w:pPr>
      <w:r>
        <w:rPr>
          <w:rFonts w:hint="eastAsia"/>
        </w:rPr>
        <w:t>支持配置设定预交金预警阀值，根据设定的值进行查询超过阀值的病人，可以打印超过阀值病人的催交单。</w:t>
      </w:r>
    </w:p>
    <w:p w14:paraId="29C8AC55">
      <w:pPr>
        <w:pStyle w:val="8"/>
        <w:numPr>
          <w:ilvl w:val="5"/>
          <w:numId w:val="16"/>
        </w:numPr>
      </w:pPr>
      <w:r>
        <w:rPr>
          <w:rFonts w:hint="eastAsia"/>
        </w:rPr>
        <w:t>患者管理</w:t>
      </w:r>
    </w:p>
    <w:p w14:paraId="35EAD015">
      <w:pPr>
        <w:pStyle w:val="9"/>
        <w:numPr>
          <w:ilvl w:val="6"/>
          <w:numId w:val="16"/>
        </w:numPr>
      </w:pPr>
      <w:r>
        <w:rPr>
          <w:rFonts w:hint="eastAsia"/>
        </w:rPr>
        <w:t>入科</w:t>
      </w:r>
    </w:p>
    <w:p w14:paraId="5E07887D">
      <w:pPr>
        <w:pStyle w:val="3"/>
      </w:pPr>
      <w:r>
        <w:rPr>
          <w:rFonts w:hint="eastAsia"/>
        </w:rPr>
        <w:t>支持查询待入科、待转入、待迁入、取消入科、取消转入、取消迁出、取消挂床、取消出院等各个状态需要入科的患者。</w:t>
      </w:r>
    </w:p>
    <w:p w14:paraId="5D249D41">
      <w:pPr>
        <w:pStyle w:val="3"/>
      </w:pPr>
      <w:r>
        <w:rPr>
          <w:rFonts w:hint="eastAsia"/>
        </w:rPr>
        <w:t>支持对患者进行分配主管医生、主管护士、床位等。</w:t>
      </w:r>
    </w:p>
    <w:p w14:paraId="78D5F384">
      <w:pPr>
        <w:pStyle w:val="3"/>
      </w:pPr>
      <w:r>
        <w:rPr>
          <w:rFonts w:hint="eastAsia"/>
        </w:rPr>
        <w:t>支持入科任务提示与执行，包含入院评估、入院体征录入、入院宣教等。</w:t>
      </w:r>
    </w:p>
    <w:p w14:paraId="463AC925">
      <w:pPr>
        <w:pStyle w:val="9"/>
        <w:numPr>
          <w:ilvl w:val="6"/>
          <w:numId w:val="16"/>
        </w:numPr>
      </w:pPr>
      <w:r>
        <w:rPr>
          <w:rFonts w:hint="eastAsia"/>
        </w:rPr>
        <w:t>转科</w:t>
      </w:r>
    </w:p>
    <w:p w14:paraId="70DB1311">
      <w:pPr>
        <w:pStyle w:val="3"/>
      </w:pPr>
      <w:r>
        <w:rPr>
          <w:rFonts w:hint="eastAsia"/>
        </w:rPr>
        <w:t>支持对患者进行转科操作，包含处理患者未完事项以及设置转入科室信息。</w:t>
      </w:r>
    </w:p>
    <w:p w14:paraId="2134B649">
      <w:pPr>
        <w:pStyle w:val="3"/>
      </w:pPr>
      <w:r>
        <w:rPr>
          <w:rFonts w:hint="eastAsia"/>
        </w:rPr>
        <w:t>能够查看待转科病人摆药单、未扣费用、退药单、退费单、医嘱等信息，能够提示护士患者待处理的医嘱以及单据的数量并且能够在界面直接处理。</w:t>
      </w:r>
    </w:p>
    <w:p w14:paraId="2D3639D5">
      <w:pPr>
        <w:pStyle w:val="9"/>
        <w:numPr>
          <w:ilvl w:val="6"/>
          <w:numId w:val="16"/>
        </w:numPr>
      </w:pPr>
      <w:r>
        <w:rPr>
          <w:rFonts w:hint="eastAsia"/>
        </w:rPr>
        <w:t>出院</w:t>
      </w:r>
    </w:p>
    <w:p w14:paraId="1AAA0043">
      <w:pPr>
        <w:pStyle w:val="3"/>
      </w:pPr>
      <w:r>
        <w:rPr>
          <w:rFonts w:hint="eastAsia"/>
        </w:rPr>
        <w:t>支持对患者进行出院操作，包含处理患者未完事项以及设置患者为出院状态。</w:t>
      </w:r>
    </w:p>
    <w:p w14:paraId="6F145EBD">
      <w:pPr>
        <w:pStyle w:val="3"/>
      </w:pPr>
      <w:r>
        <w:rPr>
          <w:rFonts w:hint="eastAsia"/>
        </w:rPr>
        <w:t>能够查看待出院病人摆药单、未扣费用、退药单、退费单、医嘱等信息，能够提示护士患者待处理的医嘱以及单据的数量并且能够在界面直接处理。</w:t>
      </w:r>
    </w:p>
    <w:p w14:paraId="63901178">
      <w:pPr>
        <w:pStyle w:val="9"/>
        <w:numPr>
          <w:ilvl w:val="6"/>
          <w:numId w:val="16"/>
        </w:numPr>
      </w:pPr>
      <w:r>
        <w:rPr>
          <w:rFonts w:hint="eastAsia"/>
        </w:rPr>
        <w:t>迁出</w:t>
      </w:r>
    </w:p>
    <w:p w14:paraId="37870F09">
      <w:pPr>
        <w:pStyle w:val="3"/>
      </w:pPr>
      <w:r>
        <w:rPr>
          <w:rFonts w:hint="eastAsia"/>
        </w:rPr>
        <w:t>支持对患者进行护理迁出操作，包含处理患者未完事项以及设置迁入科室信息和原因。</w:t>
      </w:r>
    </w:p>
    <w:p w14:paraId="28EFD5DD">
      <w:pPr>
        <w:pStyle w:val="3"/>
      </w:pPr>
      <w:r>
        <w:rPr>
          <w:rFonts w:hint="eastAsia"/>
        </w:rPr>
        <w:t>能够查看待迁出病人摆药单、未扣费用、退药单、退费单、医嘱等信息，能够提示护士患者待处理的医嘱以及单据的数量并且能够在界面直接处理。</w:t>
      </w:r>
    </w:p>
    <w:p w14:paraId="0A617850">
      <w:pPr>
        <w:pStyle w:val="9"/>
        <w:numPr>
          <w:ilvl w:val="6"/>
          <w:numId w:val="16"/>
        </w:numPr>
      </w:pPr>
      <w:r>
        <w:rPr>
          <w:rFonts w:hint="eastAsia"/>
        </w:rPr>
        <w:t>挂床</w:t>
      </w:r>
    </w:p>
    <w:p w14:paraId="22517B63">
      <w:pPr>
        <w:pStyle w:val="3"/>
      </w:pPr>
      <w:r>
        <w:rPr>
          <w:rFonts w:hint="eastAsia"/>
        </w:rPr>
        <w:t>支持对患者进行挂床操作，包含处理患者未完事项以及设置患者为挂床状态。</w:t>
      </w:r>
    </w:p>
    <w:p w14:paraId="262105A7">
      <w:pPr>
        <w:pStyle w:val="3"/>
      </w:pPr>
      <w:r>
        <w:rPr>
          <w:rFonts w:hint="eastAsia"/>
        </w:rPr>
        <w:t>能够查看待挂床病人摆药单、未扣费用、退药单、退费单、医嘱等信息，能够提示护士患者待处理的医嘱以及单据的数量并且能够在界面直接处理。</w:t>
      </w:r>
    </w:p>
    <w:p w14:paraId="7FF3FA5D">
      <w:pPr>
        <w:pStyle w:val="9"/>
        <w:numPr>
          <w:ilvl w:val="6"/>
          <w:numId w:val="16"/>
        </w:numPr>
      </w:pPr>
      <w:r>
        <w:rPr>
          <w:rFonts w:hint="eastAsia"/>
        </w:rPr>
        <w:t>住院信息修改</w:t>
      </w:r>
    </w:p>
    <w:p w14:paraId="16335F55">
      <w:pPr>
        <w:pStyle w:val="3"/>
      </w:pPr>
      <w:r>
        <w:rPr>
          <w:rFonts w:hint="eastAsia"/>
        </w:rPr>
        <w:t>支持修改住院患者的住院信息，包含患者基本信息和住院信息，支持更新的数据同步到病历等其他系统。</w:t>
      </w:r>
    </w:p>
    <w:p w14:paraId="5866705A">
      <w:pPr>
        <w:pStyle w:val="9"/>
        <w:numPr>
          <w:ilvl w:val="6"/>
          <w:numId w:val="16"/>
        </w:numPr>
      </w:pPr>
      <w:r>
        <w:rPr>
          <w:rFonts w:hint="eastAsia"/>
        </w:rPr>
        <w:t>共享病人分发</w:t>
      </w:r>
    </w:p>
    <w:p w14:paraId="0B673B6B">
      <w:pPr>
        <w:pStyle w:val="3"/>
      </w:pPr>
      <w:r>
        <w:rPr>
          <w:rFonts w:hint="eastAsia"/>
        </w:rPr>
        <w:t>支持将病人共享给其他病区进行护理操作，可设置共享的有效时间范围以及收回共享病人，可批量进行共享病人分发。</w:t>
      </w:r>
    </w:p>
    <w:p w14:paraId="3F565900">
      <w:pPr>
        <w:pStyle w:val="3"/>
      </w:pPr>
      <w:r>
        <w:rPr>
          <w:rFonts w:hint="eastAsia"/>
        </w:rPr>
        <w:t>支持对共享过来的病人进行医生文书查看以及护理记录书写。</w:t>
      </w:r>
    </w:p>
    <w:p w14:paraId="67B872EC">
      <w:pPr>
        <w:pStyle w:val="9"/>
        <w:numPr>
          <w:ilvl w:val="6"/>
          <w:numId w:val="16"/>
        </w:numPr>
      </w:pPr>
      <w:r>
        <w:rPr>
          <w:rFonts w:hint="eastAsia"/>
        </w:rPr>
        <w:t>患者陪护</w:t>
      </w:r>
    </w:p>
    <w:p w14:paraId="2108560C">
      <w:pPr>
        <w:pStyle w:val="3"/>
      </w:pPr>
      <w:r>
        <w:rPr>
          <w:rFonts w:hint="eastAsia"/>
        </w:rPr>
        <w:t>支持对陪护患者的人员进行登记，包含登记人员的身份证、电话等基本信息以及疫苗等健康信息。</w:t>
      </w:r>
    </w:p>
    <w:p w14:paraId="4D040432">
      <w:pPr>
        <w:pStyle w:val="8"/>
        <w:numPr>
          <w:ilvl w:val="5"/>
          <w:numId w:val="16"/>
        </w:numPr>
      </w:pPr>
      <w:r>
        <w:rPr>
          <w:rFonts w:hint="eastAsia"/>
        </w:rPr>
        <w:t>打印管理</w:t>
      </w:r>
    </w:p>
    <w:p w14:paraId="6B0C517E">
      <w:pPr>
        <w:pStyle w:val="9"/>
        <w:numPr>
          <w:ilvl w:val="6"/>
          <w:numId w:val="16"/>
        </w:numPr>
      </w:pPr>
      <w:r>
        <w:rPr>
          <w:rFonts w:hint="eastAsia"/>
        </w:rPr>
        <w:t>用药打印</w:t>
      </w:r>
    </w:p>
    <w:p w14:paraId="1305FCBF">
      <w:pPr>
        <w:pStyle w:val="3"/>
      </w:pPr>
      <w:r>
        <w:rPr>
          <w:rFonts w:hint="eastAsia"/>
        </w:rPr>
        <w:t>支持按照医院定制格式打印输液卡、执行单、巡视单、床头卡、口服卡等，支持按单个病人打印或多个病人合并打印。</w:t>
      </w:r>
    </w:p>
    <w:p w14:paraId="49AA9564">
      <w:pPr>
        <w:pStyle w:val="9"/>
        <w:numPr>
          <w:ilvl w:val="6"/>
          <w:numId w:val="16"/>
        </w:numPr>
      </w:pPr>
      <w:r>
        <w:rPr>
          <w:rFonts w:hint="eastAsia"/>
        </w:rPr>
        <w:t>费用清单打印</w:t>
      </w:r>
    </w:p>
    <w:p w14:paraId="39B5007E">
      <w:pPr>
        <w:pStyle w:val="3"/>
      </w:pPr>
      <w:r>
        <w:rPr>
          <w:rFonts w:hint="eastAsia"/>
        </w:rPr>
        <w:t>支持根据医院格式打印指定患者的费用清单信息，支持切换不同的清单格式模板。</w:t>
      </w:r>
    </w:p>
    <w:p w14:paraId="370722CC">
      <w:pPr>
        <w:pStyle w:val="9"/>
        <w:numPr>
          <w:ilvl w:val="6"/>
          <w:numId w:val="16"/>
        </w:numPr>
      </w:pPr>
      <w:r>
        <w:rPr>
          <w:rFonts w:hint="eastAsia"/>
        </w:rPr>
        <w:t>护理打印</w:t>
      </w:r>
    </w:p>
    <w:p w14:paraId="7839BD67">
      <w:pPr>
        <w:pStyle w:val="3"/>
      </w:pPr>
      <w:r>
        <w:rPr>
          <w:rFonts w:hint="eastAsia"/>
        </w:rPr>
        <w:t>支持根据医院自定义格式选择病人打印医嘱执行单、医嘱本、指引单等，可以选择不同的格式模板进行打印，支持按照床位或者项目进行排序打印。</w:t>
      </w:r>
    </w:p>
    <w:p w14:paraId="002C88D9">
      <w:pPr>
        <w:pStyle w:val="9"/>
        <w:numPr>
          <w:ilvl w:val="6"/>
          <w:numId w:val="16"/>
        </w:numPr>
      </w:pPr>
      <w:r>
        <w:rPr>
          <w:rFonts w:hint="eastAsia"/>
        </w:rPr>
        <w:t>变更医嘱打印</w:t>
      </w:r>
    </w:p>
    <w:p w14:paraId="33B29AA6">
      <w:pPr>
        <w:pStyle w:val="3"/>
      </w:pPr>
      <w:r>
        <w:rPr>
          <w:rFonts w:hint="eastAsia"/>
        </w:rPr>
        <w:t>支持当每日医嘱变更时打印医生今天新开、停嘱、作废的医嘱。</w:t>
      </w:r>
    </w:p>
    <w:p w14:paraId="2D9DE6A7">
      <w:pPr>
        <w:pStyle w:val="9"/>
        <w:numPr>
          <w:ilvl w:val="6"/>
          <w:numId w:val="16"/>
        </w:numPr>
      </w:pPr>
      <w:r>
        <w:rPr>
          <w:rFonts w:hint="eastAsia"/>
        </w:rPr>
        <w:t>医嘱打印</w:t>
      </w:r>
    </w:p>
    <w:p w14:paraId="65A29C13">
      <w:pPr>
        <w:pStyle w:val="3"/>
      </w:pPr>
      <w:r>
        <w:rPr>
          <w:rFonts w:hint="eastAsia"/>
        </w:rPr>
        <w:t>医嘱打印支持打印患者的长期医嘱单和临时医嘱单，可以按照奇偶页、指定页数进行打印、续打和重打。</w:t>
      </w:r>
    </w:p>
    <w:p w14:paraId="57DE3145">
      <w:pPr>
        <w:pStyle w:val="8"/>
        <w:numPr>
          <w:ilvl w:val="5"/>
          <w:numId w:val="16"/>
        </w:numPr>
      </w:pPr>
      <w:r>
        <w:rPr>
          <w:rFonts w:hint="eastAsia"/>
        </w:rPr>
        <w:t>科室事务</w:t>
      </w:r>
    </w:p>
    <w:p w14:paraId="4340B967">
      <w:pPr>
        <w:pStyle w:val="9"/>
        <w:numPr>
          <w:ilvl w:val="6"/>
          <w:numId w:val="16"/>
        </w:numPr>
      </w:pPr>
      <w:r>
        <w:rPr>
          <w:rFonts w:hint="eastAsia"/>
        </w:rPr>
        <w:t>交班本</w:t>
      </w:r>
    </w:p>
    <w:p w14:paraId="1CD35C40">
      <w:pPr>
        <w:pStyle w:val="3"/>
      </w:pPr>
      <w:r>
        <w:rPr>
          <w:rFonts w:hint="eastAsia"/>
        </w:rPr>
        <w:t>可根据患者状态、护理评估结果快速选择需要交接班的患者。</w:t>
      </w:r>
    </w:p>
    <w:p w14:paraId="2B1D3377">
      <w:pPr>
        <w:pStyle w:val="3"/>
      </w:pPr>
      <w:r>
        <w:rPr>
          <w:rFonts w:hint="eastAsia"/>
        </w:rPr>
        <w:t>支持按护理责任组交接患者。</w:t>
      </w:r>
    </w:p>
    <w:p w14:paraId="1F965A69">
      <w:pPr>
        <w:pStyle w:val="3"/>
      </w:pPr>
      <w:r>
        <w:rPr>
          <w:rFonts w:hint="eastAsia"/>
        </w:rPr>
        <w:t>支持引用患者体征、检查检验、手术、医嘱等信息到交班本。</w:t>
      </w:r>
    </w:p>
    <w:p w14:paraId="1CD46B5E">
      <w:pPr>
        <w:pStyle w:val="9"/>
        <w:numPr>
          <w:ilvl w:val="6"/>
          <w:numId w:val="16"/>
        </w:numPr>
      </w:pPr>
      <w:r>
        <w:rPr>
          <w:rFonts w:hint="eastAsia"/>
        </w:rPr>
        <w:t>责任组</w:t>
      </w:r>
    </w:p>
    <w:p w14:paraId="6B25A1FC">
      <w:pPr>
        <w:pStyle w:val="3"/>
      </w:pPr>
      <w:r>
        <w:rPr>
          <w:rFonts w:hint="eastAsia"/>
        </w:rPr>
        <w:t>支持维护病区的护士责任组，包含分发责任组人员以及责任组管理床位范围。</w:t>
      </w:r>
    </w:p>
    <w:p w14:paraId="2578EBB4">
      <w:pPr>
        <w:pStyle w:val="9"/>
        <w:numPr>
          <w:ilvl w:val="6"/>
          <w:numId w:val="16"/>
        </w:numPr>
      </w:pPr>
      <w:r>
        <w:rPr>
          <w:rFonts w:hint="eastAsia"/>
        </w:rPr>
        <w:t>科室药品管理</w:t>
      </w:r>
    </w:p>
    <w:p w14:paraId="2B1E1A4F">
      <w:pPr>
        <w:pStyle w:val="3"/>
      </w:pPr>
      <w:r>
        <w:rPr>
          <w:rFonts w:hint="eastAsia"/>
        </w:rPr>
        <w:t>支持科室开具本科需要药房备药的药品申请单，药房可接收申请单并进行审核摆药。</w:t>
      </w:r>
    </w:p>
    <w:p w14:paraId="65886D4A">
      <w:pPr>
        <w:pStyle w:val="3"/>
      </w:pPr>
      <w:r>
        <w:rPr>
          <w:rFonts w:hint="eastAsia"/>
        </w:rPr>
        <w:t>支持将常用的备药申请单存为模板，下次申请时可使用模板快速申请。</w:t>
      </w:r>
    </w:p>
    <w:p w14:paraId="6BD06CBA">
      <w:pPr>
        <w:pStyle w:val="3"/>
      </w:pPr>
      <w:r>
        <w:rPr>
          <w:rFonts w:hint="eastAsia"/>
        </w:rPr>
        <w:t>支持查询药品申领状态以及历史备药详情。</w:t>
      </w:r>
    </w:p>
    <w:p w14:paraId="7C9B008C">
      <w:pPr>
        <w:pStyle w:val="9"/>
        <w:numPr>
          <w:ilvl w:val="6"/>
          <w:numId w:val="16"/>
        </w:numPr>
      </w:pPr>
      <w:r>
        <w:rPr>
          <w:rFonts w:hint="eastAsia"/>
        </w:rPr>
        <w:t>文档段维护</w:t>
      </w:r>
    </w:p>
    <w:p w14:paraId="3258F980">
      <w:pPr>
        <w:pStyle w:val="3"/>
      </w:pPr>
      <w:r>
        <w:rPr>
          <w:rFonts w:hint="eastAsia"/>
        </w:rPr>
        <w:t>支持维护书写护理相关记录的文档段内容，包含文字描述以及各类书写控件。</w:t>
      </w:r>
    </w:p>
    <w:p w14:paraId="6AB7CA4F">
      <w:pPr>
        <w:pStyle w:val="3"/>
      </w:pPr>
      <w:r>
        <w:rPr>
          <w:rFonts w:hint="eastAsia"/>
        </w:rPr>
        <w:t>支持设置文档段的使用范围：个人使用或者全科室通用。</w:t>
      </w:r>
    </w:p>
    <w:p w14:paraId="1AC10B04">
      <w:pPr>
        <w:pStyle w:val="3"/>
      </w:pPr>
      <w:r>
        <w:rPr>
          <w:rFonts w:hint="eastAsia"/>
        </w:rPr>
        <w:t>支持将文档段全部内容共享到其他科室使用。</w:t>
      </w:r>
    </w:p>
    <w:p w14:paraId="4C99F5EC">
      <w:pPr>
        <w:pStyle w:val="3"/>
        <w:rPr>
          <w:rFonts w:asciiTheme="minorEastAsia" w:hAnsiTheme="minorEastAsia" w:eastAsiaTheme="minorEastAsia"/>
        </w:rPr>
      </w:pPr>
    </w:p>
    <w:p w14:paraId="5599925B">
      <w:pPr>
        <w:pStyle w:val="6"/>
        <w:numPr>
          <w:ilvl w:val="3"/>
          <w:numId w:val="16"/>
        </w:numPr>
      </w:pPr>
      <w:bookmarkStart w:id="475" w:name="_Toc198048594"/>
      <w:bookmarkStart w:id="476" w:name="_Toc147920850"/>
      <w:r>
        <w:rPr>
          <w:rFonts w:hint="eastAsia"/>
        </w:rPr>
        <w:t>医技管理</w:t>
      </w:r>
      <w:bookmarkEnd w:id="475"/>
      <w:bookmarkEnd w:id="476"/>
    </w:p>
    <w:p w14:paraId="38219755">
      <w:pPr>
        <w:pStyle w:val="7"/>
        <w:numPr>
          <w:ilvl w:val="4"/>
          <w:numId w:val="16"/>
        </w:numPr>
      </w:pPr>
      <w:bookmarkStart w:id="477" w:name="_Toc92871593"/>
      <w:bookmarkStart w:id="478" w:name="_Toc147920851"/>
      <w:r>
        <w:rPr>
          <w:rFonts w:hint="eastAsia"/>
        </w:rPr>
        <w:t>医技计费管理系统</w:t>
      </w:r>
      <w:bookmarkEnd w:id="477"/>
      <w:bookmarkEnd w:id="478"/>
    </w:p>
    <w:p w14:paraId="35F43FA2">
      <w:pPr>
        <w:pStyle w:val="3"/>
      </w:pPr>
      <w:r>
        <w:rPr>
          <w:rFonts w:hint="eastAsia" w:asciiTheme="minorEastAsia" w:hAnsiTheme="minorEastAsia" w:eastAsiaTheme="minorEastAsia"/>
        </w:rPr>
        <w:t>具备支持以下功能：</w:t>
      </w:r>
    </w:p>
    <w:p w14:paraId="2709484C">
      <w:pPr>
        <w:pStyle w:val="134"/>
      </w:pPr>
      <w:r>
        <w:rPr>
          <w:rFonts w:hint="eastAsia"/>
        </w:rPr>
        <w:t>支持为门诊、住院检验科、门诊治疗室及其所属各组检查功能科室、治疗、理疗室等科室提供费用管理等功能。具体包括单据管理、医技执行扣费、医技退费。</w:t>
      </w:r>
    </w:p>
    <w:p w14:paraId="4A41CE00">
      <w:pPr>
        <w:pStyle w:val="7"/>
        <w:numPr>
          <w:ilvl w:val="4"/>
          <w:numId w:val="16"/>
        </w:numPr>
      </w:pPr>
      <w:bookmarkStart w:id="479" w:name="_Toc92871594"/>
      <w:bookmarkStart w:id="480" w:name="_Toc147920852"/>
      <w:r>
        <w:rPr>
          <w:rFonts w:hint="eastAsia"/>
        </w:rPr>
        <w:t>医技电子申请单系统</w:t>
      </w:r>
      <w:bookmarkEnd w:id="479"/>
      <w:bookmarkEnd w:id="480"/>
    </w:p>
    <w:p w14:paraId="3B8A9EAF">
      <w:pPr>
        <w:pStyle w:val="3"/>
      </w:pPr>
      <w:r>
        <w:rPr>
          <w:rFonts w:hint="eastAsia" w:asciiTheme="minorEastAsia" w:hAnsiTheme="minorEastAsia" w:eastAsiaTheme="minorEastAsia"/>
        </w:rPr>
        <w:t>具备支持以下功能：</w:t>
      </w:r>
    </w:p>
    <w:p w14:paraId="18661909">
      <w:pPr>
        <w:pStyle w:val="3"/>
      </w:pPr>
      <w:r>
        <w:rPr>
          <w:rFonts w:hint="eastAsia"/>
        </w:rPr>
        <w:t>对检验申请、检查申请、手术申请、治疗申请、病理申请、输血申请、放疗申请、会诊申请、转院申请等，实现智能开单、推送、接收、查询、反馈等管理。</w:t>
      </w:r>
    </w:p>
    <w:p w14:paraId="44AD463C">
      <w:pPr>
        <w:pStyle w:val="3"/>
      </w:pPr>
      <w:r>
        <w:rPr>
          <w:rFonts w:hint="eastAsia"/>
        </w:rPr>
        <w:t>具体功能包括：申请单录入、申请单医嘱、申请单数据引用、申请项目智能组合、申请项智能组合、申请单模板管理、申请单查询。</w:t>
      </w:r>
    </w:p>
    <w:p w14:paraId="188B960B">
      <w:pPr>
        <w:pStyle w:val="7"/>
        <w:numPr>
          <w:ilvl w:val="4"/>
          <w:numId w:val="16"/>
        </w:numPr>
      </w:pPr>
      <w:bookmarkStart w:id="481" w:name="_Toc92871595"/>
      <w:bookmarkStart w:id="482" w:name="_Toc147920853"/>
      <w:r>
        <w:rPr>
          <w:rFonts w:hint="eastAsia"/>
        </w:rPr>
        <w:t>手术计费管理系统</w:t>
      </w:r>
      <w:bookmarkEnd w:id="481"/>
      <w:bookmarkEnd w:id="482"/>
    </w:p>
    <w:p w14:paraId="625F74FD">
      <w:pPr>
        <w:pStyle w:val="3"/>
      </w:pPr>
      <w:r>
        <w:rPr>
          <w:rFonts w:hint="eastAsia" w:asciiTheme="minorEastAsia" w:hAnsiTheme="minorEastAsia" w:eastAsiaTheme="minorEastAsia"/>
        </w:rPr>
        <w:t>具备支持以下功能：</w:t>
      </w:r>
    </w:p>
    <w:p w14:paraId="36D94D01">
      <w:pPr>
        <w:pStyle w:val="3"/>
      </w:pPr>
      <w:r>
        <w:rPr>
          <w:rFonts w:hint="eastAsia"/>
        </w:rPr>
        <w:t>手术计费管理系统提供住院病人手术与麻醉的申请、审批、安排以及术后有关信息的记录和跟踪等功能。主要包括：为门诊、病区的手术申请进行审核、手术排台、人员安排及调整，术中术后用药、手术情况登记与计费、麻醉情况登记及计费，手术麻醉的退药与退费；提供各类收入的统计查询等功能。</w:t>
      </w:r>
    </w:p>
    <w:p w14:paraId="4F82438F">
      <w:pPr>
        <w:pStyle w:val="6"/>
        <w:numPr>
          <w:ilvl w:val="3"/>
          <w:numId w:val="16"/>
        </w:numPr>
      </w:pPr>
      <w:bookmarkStart w:id="483" w:name="_Toc198048595"/>
      <w:bookmarkStart w:id="484" w:name="_Toc147920854"/>
      <w:r>
        <w:rPr>
          <w:rFonts w:hint="eastAsia"/>
        </w:rPr>
        <w:t>药品管理</w:t>
      </w:r>
      <w:bookmarkEnd w:id="483"/>
      <w:bookmarkEnd w:id="484"/>
    </w:p>
    <w:p w14:paraId="37FA4040">
      <w:pPr>
        <w:pStyle w:val="7"/>
        <w:numPr>
          <w:ilvl w:val="4"/>
          <w:numId w:val="16"/>
        </w:numPr>
      </w:pPr>
      <w:bookmarkStart w:id="485" w:name="_Toc147920855"/>
      <w:r>
        <w:rPr>
          <w:rFonts w:hint="eastAsia"/>
        </w:rPr>
        <w:t>门诊发药管理系统</w:t>
      </w:r>
      <w:bookmarkEnd w:id="485"/>
    </w:p>
    <w:p w14:paraId="15BD94EF">
      <w:pPr>
        <w:pStyle w:val="3"/>
      </w:pPr>
      <w:r>
        <w:rPr>
          <w:rFonts w:hint="eastAsia"/>
        </w:rPr>
        <w:t>实现各药房发药流程以及退药等功能管理，支持与自动发药机进行对接，确保用药安全，实现药品的可追溯。具体功能包括：门诊自动接单，门诊发药，门诊退药等功能.</w:t>
      </w:r>
      <w:r>
        <w:rPr>
          <w:rFonts w:hint="eastAsia" w:asciiTheme="minorEastAsia" w:hAnsiTheme="minorEastAsia" w:eastAsiaTheme="minorEastAsia"/>
        </w:rPr>
        <w:t xml:space="preserve"> 具备支持以下功能：</w:t>
      </w:r>
    </w:p>
    <w:p w14:paraId="0E06ECE1">
      <w:pPr>
        <w:pStyle w:val="8"/>
        <w:numPr>
          <w:ilvl w:val="5"/>
          <w:numId w:val="16"/>
        </w:numPr>
      </w:pPr>
      <w:r>
        <w:rPr>
          <w:rFonts w:hint="eastAsia"/>
        </w:rPr>
        <w:t>门诊自动接单</w:t>
      </w:r>
    </w:p>
    <w:p w14:paraId="66BD936D">
      <w:pPr>
        <w:pStyle w:val="3"/>
      </w:pPr>
      <w:r>
        <w:rPr>
          <w:rFonts w:hint="eastAsia"/>
        </w:rPr>
        <w:t>患者结算后，药房自动获取待发药的处方，药师根据获取的处方取相应的药品提供给前台发药窗口，系统支持自动获取处方的同时自动打印票据等信息。</w:t>
      </w:r>
    </w:p>
    <w:p w14:paraId="41AE2750">
      <w:pPr>
        <w:pStyle w:val="8"/>
        <w:numPr>
          <w:ilvl w:val="5"/>
          <w:numId w:val="16"/>
        </w:numPr>
      </w:pPr>
      <w:r>
        <w:rPr>
          <w:rFonts w:hint="eastAsia"/>
        </w:rPr>
        <w:t>门诊手动接单发药</w:t>
      </w:r>
    </w:p>
    <w:p w14:paraId="6DFB5FFD">
      <w:pPr>
        <w:pStyle w:val="3"/>
      </w:pPr>
      <w:r>
        <w:rPr>
          <w:rFonts w:hint="eastAsia"/>
        </w:rPr>
        <w:t>系统针对异常情况，例如发药机故障无法自动发药，系统也提供了手动接单发药的功能，当自动接单发药系统异常后，患者可以到手动发药窗口排队取药。</w:t>
      </w:r>
    </w:p>
    <w:p w14:paraId="5AF54152">
      <w:pPr>
        <w:pStyle w:val="8"/>
        <w:numPr>
          <w:ilvl w:val="5"/>
          <w:numId w:val="16"/>
        </w:numPr>
      </w:pPr>
      <w:r>
        <w:rPr>
          <w:rFonts w:hint="eastAsia"/>
        </w:rPr>
        <w:t>门诊摆药重制</w:t>
      </w:r>
    </w:p>
    <w:p w14:paraId="0BFA7F66">
      <w:pPr>
        <w:pStyle w:val="3"/>
      </w:pPr>
      <w:r>
        <w:rPr>
          <w:rFonts w:hint="eastAsia"/>
        </w:rPr>
        <w:t>如果出现处方票据、瓶签打印异常，系统也支持重制票据、瓶签等内容。</w:t>
      </w:r>
    </w:p>
    <w:p w14:paraId="0CED4908">
      <w:pPr>
        <w:pStyle w:val="8"/>
        <w:numPr>
          <w:ilvl w:val="5"/>
          <w:numId w:val="16"/>
        </w:numPr>
      </w:pPr>
      <w:r>
        <w:rPr>
          <w:rFonts w:hint="eastAsia"/>
        </w:rPr>
        <w:t>门诊退药处理</w:t>
      </w:r>
    </w:p>
    <w:p w14:paraId="15B11300">
      <w:pPr>
        <w:pStyle w:val="9"/>
        <w:numPr>
          <w:ilvl w:val="6"/>
          <w:numId w:val="16"/>
        </w:numPr>
      </w:pPr>
      <w:r>
        <w:rPr>
          <w:rFonts w:hint="eastAsia"/>
        </w:rPr>
        <w:t>门诊退药开单执行</w:t>
      </w:r>
    </w:p>
    <w:p w14:paraId="1FB02482">
      <w:pPr>
        <w:pStyle w:val="3"/>
      </w:pPr>
      <w:r>
        <w:rPr>
          <w:rFonts w:hint="eastAsia"/>
        </w:rPr>
        <w:t>针对门诊退药的场景，系统也提供了对应的完备的功能模块，并针对结算未取药、已取药的患者，提供相应的便捷流程。</w:t>
      </w:r>
    </w:p>
    <w:p w14:paraId="75268039">
      <w:pPr>
        <w:pStyle w:val="9"/>
        <w:numPr>
          <w:ilvl w:val="6"/>
          <w:numId w:val="16"/>
        </w:numPr>
      </w:pPr>
      <w:r>
        <w:rPr>
          <w:rFonts w:hint="eastAsia"/>
        </w:rPr>
        <w:t>门诊窗口退费</w:t>
      </w:r>
    </w:p>
    <w:p w14:paraId="12D100E7">
      <w:pPr>
        <w:pStyle w:val="3"/>
      </w:pPr>
      <w:r>
        <w:rPr>
          <w:rFonts w:hint="eastAsia"/>
        </w:rPr>
        <w:t>患者执行退药后，退费数据更新已执行的退药金额，患者可以到收费窗口办理退费</w:t>
      </w:r>
    </w:p>
    <w:p w14:paraId="7D8BA78A">
      <w:pPr>
        <w:pStyle w:val="8"/>
        <w:numPr>
          <w:ilvl w:val="5"/>
          <w:numId w:val="16"/>
        </w:numPr>
      </w:pPr>
      <w:r>
        <w:rPr>
          <w:rFonts w:hint="eastAsia"/>
        </w:rPr>
        <w:t>门诊发药工作量统计</w:t>
      </w:r>
    </w:p>
    <w:p w14:paraId="0E11E07A">
      <w:pPr>
        <w:pStyle w:val="3"/>
      </w:pPr>
      <w:r>
        <w:rPr>
          <w:rFonts w:hint="eastAsia"/>
        </w:rPr>
        <w:t>系统支持统计药师的工作量，可检索药师在某个时间段内发药数量情况。</w:t>
      </w:r>
    </w:p>
    <w:p w14:paraId="202B0DD5">
      <w:pPr>
        <w:pStyle w:val="8"/>
        <w:numPr>
          <w:ilvl w:val="5"/>
          <w:numId w:val="16"/>
        </w:numPr>
      </w:pPr>
      <w:r>
        <w:t>中药处方配送管理</w:t>
      </w:r>
    </w:p>
    <w:p w14:paraId="1735D300">
      <w:pPr>
        <w:pStyle w:val="3"/>
      </w:pPr>
      <w:r>
        <w:rPr>
          <w:rFonts w:hint="eastAsia"/>
        </w:rPr>
        <w:t>系统支持按照不同的处方状态、配送方式查看配送处方。药房可以修改处方的配送地址、配送方式。如有一同配送的西药处方时，系统支持自动获取西药处方的审核状态，支持配送单锁定、挂起等操作。</w:t>
      </w:r>
    </w:p>
    <w:p w14:paraId="00D15000">
      <w:pPr>
        <w:pStyle w:val="7"/>
        <w:numPr>
          <w:ilvl w:val="4"/>
          <w:numId w:val="16"/>
        </w:numPr>
      </w:pPr>
      <w:bookmarkStart w:id="486" w:name="_Toc147920856"/>
      <w:r>
        <w:rPr>
          <w:rFonts w:hint="eastAsia"/>
        </w:rPr>
        <w:t>住院配药管理系统</w:t>
      </w:r>
      <w:bookmarkEnd w:id="486"/>
    </w:p>
    <w:p w14:paraId="1F70F1FF">
      <w:pPr>
        <w:pStyle w:val="3"/>
      </w:pPr>
      <w:r>
        <w:rPr>
          <w:rFonts w:hint="eastAsia"/>
        </w:rPr>
        <w:t>实现住院药品发药流程管理以及退药等功能管理，支持与自动发药机、合理用药系统进行对接，确保用药安全，实现药品的可追溯。具体功能包括：住院药房摆药、住院退药管理等功能</w:t>
      </w:r>
      <w:r>
        <w:rPr>
          <w:rStyle w:val="52"/>
          <w:rFonts w:hint="eastAsia" w:ascii="Times New Roman" w:hAnsi="Times New Roman"/>
        </w:rPr>
        <w:t>。</w:t>
      </w:r>
      <w:r>
        <w:rPr>
          <w:rFonts w:hint="eastAsia" w:asciiTheme="minorEastAsia" w:hAnsiTheme="minorEastAsia" w:eastAsiaTheme="minorEastAsia"/>
        </w:rPr>
        <w:t>具备支持以下功能：</w:t>
      </w:r>
    </w:p>
    <w:p w14:paraId="4E800ECE">
      <w:pPr>
        <w:pStyle w:val="8"/>
        <w:numPr>
          <w:ilvl w:val="5"/>
          <w:numId w:val="16"/>
        </w:numPr>
      </w:pPr>
      <w:r>
        <w:rPr>
          <w:rFonts w:hint="eastAsia"/>
        </w:rPr>
        <w:t>住院摆药条件设置</w:t>
      </w:r>
    </w:p>
    <w:p w14:paraId="22B2FA6A">
      <w:pPr>
        <w:pStyle w:val="3"/>
      </w:pPr>
      <w:r>
        <w:rPr>
          <w:rFonts w:hint="eastAsia"/>
        </w:rPr>
        <w:t>住院药品类型众多，例如针剂、口服、精神类药品等等，药房根据管理要求对不同的类型的药品安排不同人员发药。系统针对这种情况，支持个性化配置不同摆药条件，各摆药窗口选择相应条件，自动获取相应的药品列表。</w:t>
      </w:r>
    </w:p>
    <w:p w14:paraId="67A3FE75">
      <w:pPr>
        <w:pStyle w:val="8"/>
        <w:numPr>
          <w:ilvl w:val="5"/>
          <w:numId w:val="16"/>
        </w:numPr>
      </w:pPr>
      <w:r>
        <w:rPr>
          <w:rFonts w:hint="eastAsia"/>
        </w:rPr>
        <w:t>住院药房摆药</w:t>
      </w:r>
    </w:p>
    <w:p w14:paraId="2039F77D">
      <w:pPr>
        <w:pStyle w:val="3"/>
      </w:pPr>
      <w:r>
        <w:rPr>
          <w:rFonts w:hint="eastAsia"/>
        </w:rPr>
        <w:t>护士申请执行后，住院药房药师，选择相应的摆药条件，系统自动获取病区对应条件的待摆药数据。系统支持按病区、科室、病人等多种条件摆药，满足医院不同的模式。系统摆药打印时，根据药师平常摆药习惯，按照针剂、口服、大输液等条件区分展示，方便药师更便捷、快速的摆药发药。</w:t>
      </w:r>
    </w:p>
    <w:p w14:paraId="5350DB09">
      <w:pPr>
        <w:pStyle w:val="8"/>
        <w:numPr>
          <w:ilvl w:val="5"/>
          <w:numId w:val="16"/>
        </w:numPr>
      </w:pPr>
      <w:r>
        <w:rPr>
          <w:rFonts w:hint="eastAsia"/>
        </w:rPr>
        <w:t>住院摆药重制</w:t>
      </w:r>
    </w:p>
    <w:p w14:paraId="7301084F">
      <w:pPr>
        <w:pStyle w:val="3"/>
      </w:pPr>
      <w:r>
        <w:rPr>
          <w:rFonts w:hint="eastAsia"/>
        </w:rPr>
        <w:t>页面提供住院摆药单重制功能，支持重制汇总单、瓶签等不同类型</w:t>
      </w:r>
    </w:p>
    <w:p w14:paraId="590EFB67">
      <w:pPr>
        <w:pStyle w:val="8"/>
        <w:numPr>
          <w:ilvl w:val="5"/>
          <w:numId w:val="16"/>
        </w:numPr>
      </w:pPr>
      <w:r>
        <w:rPr>
          <w:rFonts w:hint="eastAsia"/>
        </w:rPr>
        <w:t>住院退药开单与执行</w:t>
      </w:r>
    </w:p>
    <w:p w14:paraId="469F2035">
      <w:pPr>
        <w:pStyle w:val="3"/>
      </w:pPr>
      <w:r>
        <w:rPr>
          <w:rFonts w:hint="eastAsia"/>
        </w:rPr>
        <w:t>系统退药开单执行，根据不同退药模式，适配相应的流程。当药品需要退到药房时，护士开完单后需要药房执行；退药抵药模式护士可以直接开单并执行，更加方便快捷</w:t>
      </w:r>
    </w:p>
    <w:p w14:paraId="08873ACB">
      <w:pPr>
        <w:pStyle w:val="8"/>
        <w:numPr>
          <w:ilvl w:val="5"/>
          <w:numId w:val="16"/>
        </w:numPr>
      </w:pPr>
      <w:r>
        <w:rPr>
          <w:rFonts w:hint="eastAsia"/>
        </w:rPr>
        <w:t>汇总退药查询</w:t>
      </w:r>
    </w:p>
    <w:p w14:paraId="3782D3E8">
      <w:pPr>
        <w:pStyle w:val="3"/>
      </w:pPr>
      <w:r>
        <w:rPr>
          <w:rFonts w:hint="eastAsia"/>
        </w:rPr>
        <w:t>系统支持查询历史退药记录，可根据退药日期、科室查询相应的退药历史及明细信息。</w:t>
      </w:r>
    </w:p>
    <w:p w14:paraId="7BB5B10E">
      <w:pPr>
        <w:pStyle w:val="8"/>
        <w:numPr>
          <w:ilvl w:val="5"/>
          <w:numId w:val="16"/>
        </w:numPr>
      </w:pPr>
      <w:r>
        <w:t>住院中药饮片配送</w:t>
      </w:r>
    </w:p>
    <w:p w14:paraId="1A19833D">
      <w:pPr>
        <w:pStyle w:val="3"/>
      </w:pPr>
      <w:r>
        <w:rPr>
          <w:rFonts w:hint="eastAsia"/>
        </w:rPr>
        <w:t>系统支持按照不同的处方状态、配送方式查看配送处方。药房可以修改处方的配送地址，支持配送单锁定等操作。</w:t>
      </w:r>
    </w:p>
    <w:p w14:paraId="447A3D75">
      <w:pPr>
        <w:pStyle w:val="7"/>
        <w:numPr>
          <w:ilvl w:val="4"/>
          <w:numId w:val="16"/>
        </w:numPr>
      </w:pPr>
      <w:bookmarkStart w:id="487" w:name="_Toc147920858"/>
      <w:r>
        <w:rPr>
          <w:rFonts w:hint="eastAsia"/>
        </w:rPr>
        <w:t>药库管理系统</w:t>
      </w:r>
      <w:bookmarkEnd w:id="487"/>
    </w:p>
    <w:p w14:paraId="2C1853E5">
      <w:pPr>
        <w:pStyle w:val="3"/>
      </w:pPr>
      <w:r>
        <w:rPr>
          <w:rFonts w:hint="eastAsia"/>
        </w:rPr>
        <w:t>药库管理系统支持对全院药库入库管理，并将药品出库给门急诊、住院等药房；支持对药库药品进行查询、盘点、采购、保养管理等操作；支持对药品相关基础信息进行维护，包括药品对照、供应商信息、通用名、药品结余、皮试药品等.</w:t>
      </w:r>
      <w:r>
        <w:rPr>
          <w:rFonts w:hint="eastAsia" w:asciiTheme="minorEastAsia" w:hAnsiTheme="minorEastAsia" w:eastAsiaTheme="minorEastAsia"/>
        </w:rPr>
        <w:t xml:space="preserve"> 具备支持以下功能：</w:t>
      </w:r>
    </w:p>
    <w:p w14:paraId="0BAE24B8">
      <w:pPr>
        <w:pStyle w:val="8"/>
        <w:numPr>
          <w:ilvl w:val="5"/>
          <w:numId w:val="16"/>
        </w:numPr>
      </w:pPr>
      <w:r>
        <w:rPr>
          <w:rFonts w:hint="eastAsia"/>
        </w:rPr>
        <w:t>入库管理</w:t>
      </w:r>
    </w:p>
    <w:p w14:paraId="2842F5B5">
      <w:pPr>
        <w:pStyle w:val="3"/>
      </w:pPr>
      <w:r>
        <w:rPr>
          <w:rFonts w:hint="eastAsia"/>
        </w:rPr>
        <w:t>支持药品退药、采购等入库操作，并在入库过程中按照登记、审核、入账的流程，实现完整的药品入库闭环。</w:t>
      </w:r>
    </w:p>
    <w:p w14:paraId="04E3160F">
      <w:pPr>
        <w:pStyle w:val="9"/>
        <w:numPr>
          <w:ilvl w:val="6"/>
          <w:numId w:val="16"/>
        </w:numPr>
      </w:pPr>
      <w:r>
        <w:rPr>
          <w:rFonts w:hint="eastAsia"/>
        </w:rPr>
        <w:t>新开单据</w:t>
      </w:r>
    </w:p>
    <w:p w14:paraId="451B2835">
      <w:pPr>
        <w:pStyle w:val="3"/>
      </w:pPr>
      <w:r>
        <w:rPr>
          <w:rFonts w:hint="eastAsia"/>
        </w:rPr>
        <w:t>药品单据登记支持配置不同的类型，例如采购入库、退药入库、盘盈入库、赠送入库、调拨入库等，登记过程需要补充完善药品相关信息，登记完成后由审核人员进行审核。</w:t>
      </w:r>
    </w:p>
    <w:p w14:paraId="7F1DFC80">
      <w:pPr>
        <w:pStyle w:val="9"/>
        <w:numPr>
          <w:ilvl w:val="6"/>
          <w:numId w:val="16"/>
        </w:numPr>
      </w:pPr>
      <w:r>
        <w:rPr>
          <w:rFonts w:hint="eastAsia"/>
        </w:rPr>
        <w:t>单据审核</w:t>
      </w:r>
    </w:p>
    <w:p w14:paraId="6F72DD6A">
      <w:pPr>
        <w:pStyle w:val="3"/>
      </w:pPr>
      <w:r>
        <w:rPr>
          <w:rFonts w:hint="eastAsia"/>
        </w:rPr>
        <w:t>系统支持对登记后的入库单据进行审核操作，并记录闭环中需要的节点信息，包括时间，审核人等</w:t>
      </w:r>
    </w:p>
    <w:p w14:paraId="465C3413">
      <w:pPr>
        <w:pStyle w:val="9"/>
        <w:numPr>
          <w:ilvl w:val="6"/>
          <w:numId w:val="16"/>
        </w:numPr>
      </w:pPr>
      <w:r>
        <w:rPr>
          <w:rFonts w:hint="eastAsia"/>
        </w:rPr>
        <w:t>单据入账</w:t>
      </w:r>
    </w:p>
    <w:p w14:paraId="1C574C1A">
      <w:pPr>
        <w:pStyle w:val="3"/>
      </w:pPr>
      <w:r>
        <w:rPr>
          <w:rFonts w:hint="eastAsia"/>
        </w:rPr>
        <w:t>当收到药品后，支持药库管理人员打印入库单，根据入库单上的药品种类和数量，与实际数量进行确认，保证入库药品质量、数量，完成整个入库流程。</w:t>
      </w:r>
    </w:p>
    <w:p w14:paraId="3841EC4A">
      <w:pPr>
        <w:pStyle w:val="3"/>
      </w:pPr>
      <w:r>
        <w:rPr>
          <w:rFonts w:hint="eastAsia"/>
        </w:rPr>
        <w:t>系统支持查询历史单据信息，单据记录药品入库过程完整的闭环信息，方便药库对药品追溯管理。</w:t>
      </w:r>
    </w:p>
    <w:p w14:paraId="25A1748A">
      <w:pPr>
        <w:pStyle w:val="8"/>
        <w:numPr>
          <w:ilvl w:val="5"/>
          <w:numId w:val="16"/>
        </w:numPr>
      </w:pPr>
      <w:r>
        <w:rPr>
          <w:rFonts w:hint="eastAsia"/>
        </w:rPr>
        <w:t>出库管理</w:t>
      </w:r>
    </w:p>
    <w:p w14:paraId="0F1095EC">
      <w:pPr>
        <w:pStyle w:val="3"/>
      </w:pPr>
      <w:r>
        <w:rPr>
          <w:rFonts w:hint="eastAsia"/>
        </w:rPr>
        <w:t>支持对科室申请、药库登记、审核、科室接收入账整个药品出库流程进行记录，实现出库闭环操作</w:t>
      </w:r>
    </w:p>
    <w:p w14:paraId="2F53382B">
      <w:pPr>
        <w:pStyle w:val="9"/>
        <w:numPr>
          <w:ilvl w:val="6"/>
          <w:numId w:val="16"/>
        </w:numPr>
      </w:pPr>
      <w:r>
        <w:rPr>
          <w:rFonts w:hint="eastAsia"/>
        </w:rPr>
        <w:t>出库请求</w:t>
      </w:r>
    </w:p>
    <w:p w14:paraId="68BBDBE4">
      <w:pPr>
        <w:pStyle w:val="3"/>
      </w:pPr>
      <w:r>
        <w:rPr>
          <w:rFonts w:hint="eastAsia"/>
        </w:rPr>
        <w:t>系统支持由病区、药房根据所在科室药品情况，自主向药库申请药品，通过药库审核出库方式领取药品。</w:t>
      </w:r>
    </w:p>
    <w:p w14:paraId="16AB9936">
      <w:pPr>
        <w:pStyle w:val="3"/>
      </w:pPr>
      <w:r>
        <w:rPr>
          <w:rFonts w:hint="eastAsia"/>
        </w:rPr>
        <w:t>科室申请后，药库管理人员审核后可以对科室申请药品转成出库单。</w:t>
      </w:r>
    </w:p>
    <w:p w14:paraId="2D513335">
      <w:pPr>
        <w:pStyle w:val="9"/>
        <w:numPr>
          <w:ilvl w:val="6"/>
          <w:numId w:val="16"/>
        </w:numPr>
      </w:pPr>
      <w:r>
        <w:rPr>
          <w:rFonts w:hint="eastAsia"/>
        </w:rPr>
        <w:t>新开单据</w:t>
      </w:r>
    </w:p>
    <w:p w14:paraId="708A104A">
      <w:pPr>
        <w:pStyle w:val="3"/>
      </w:pPr>
      <w:r>
        <w:rPr>
          <w:rFonts w:hint="eastAsia"/>
        </w:rPr>
        <w:t>根据支持不同出库单登记方式：科室申请审核后转成出库单、药库手动填写出库单、入库单转成出库单，能够适配不同的医院场景需求。</w:t>
      </w:r>
    </w:p>
    <w:p w14:paraId="18F84491">
      <w:pPr>
        <w:pStyle w:val="3"/>
      </w:pPr>
      <w:r>
        <w:rPr>
          <w:rFonts w:hint="eastAsia"/>
        </w:rPr>
        <w:t>1.手动开单</w:t>
      </w:r>
    </w:p>
    <w:p w14:paraId="36963D12">
      <w:pPr>
        <w:pStyle w:val="3"/>
      </w:pPr>
      <w:r>
        <w:rPr>
          <w:rFonts w:hint="eastAsia"/>
        </w:rPr>
        <w:t>出库单支持配置不同的类型，例如领用出库、报损出库、退货出库等，登记过程需要补充完善数量等信息，登记完成后由审核人员进行审核。</w:t>
      </w:r>
    </w:p>
    <w:p w14:paraId="78360823">
      <w:pPr>
        <w:pStyle w:val="3"/>
      </w:pPr>
      <w:r>
        <w:t>2.</w:t>
      </w:r>
      <w:r>
        <w:rPr>
          <w:rFonts w:hint="eastAsia"/>
        </w:rPr>
        <w:t>药房/科室请领开单</w:t>
      </w:r>
    </w:p>
    <w:p w14:paraId="559181D1">
      <w:pPr>
        <w:pStyle w:val="3"/>
      </w:pPr>
      <w:r>
        <w:rPr>
          <w:rFonts w:hint="eastAsia"/>
        </w:rPr>
        <w:t>科室发起请领后，药库审核后转成出库单</w:t>
      </w:r>
    </w:p>
    <w:p w14:paraId="4E96A423">
      <w:pPr>
        <w:pStyle w:val="3"/>
      </w:pPr>
      <w:r>
        <w:rPr>
          <w:rFonts w:hint="eastAsia"/>
        </w:rPr>
        <w:t>3</w:t>
      </w:r>
      <w:r>
        <w:t>.</w:t>
      </w:r>
      <w:r>
        <w:rPr>
          <w:rFonts w:hint="eastAsia"/>
        </w:rPr>
        <w:t>入库单转出库单</w:t>
      </w:r>
    </w:p>
    <w:p w14:paraId="5525DFD1">
      <w:pPr>
        <w:pStyle w:val="3"/>
      </w:pPr>
      <w:r>
        <w:rPr>
          <w:rFonts w:hint="eastAsia"/>
        </w:rPr>
        <w:t>入库的单据支持转成出库单</w:t>
      </w:r>
    </w:p>
    <w:p w14:paraId="373893C2">
      <w:pPr>
        <w:pStyle w:val="9"/>
        <w:numPr>
          <w:ilvl w:val="6"/>
          <w:numId w:val="16"/>
        </w:numPr>
      </w:pPr>
      <w:r>
        <w:rPr>
          <w:rFonts w:hint="eastAsia"/>
        </w:rPr>
        <w:t>单据审核</w:t>
      </w:r>
    </w:p>
    <w:p w14:paraId="478B73A9">
      <w:pPr>
        <w:pStyle w:val="3"/>
      </w:pPr>
      <w:r>
        <w:rPr>
          <w:rFonts w:hint="eastAsia"/>
        </w:rPr>
        <w:t>系统支持对登记后的出库单据进行审核操作，并记录闭环中需要的节点信息，包括时间，审核人等</w:t>
      </w:r>
    </w:p>
    <w:p w14:paraId="589A4ECF">
      <w:pPr>
        <w:pStyle w:val="9"/>
        <w:numPr>
          <w:ilvl w:val="6"/>
          <w:numId w:val="16"/>
        </w:numPr>
      </w:pPr>
      <w:r>
        <w:rPr>
          <w:rFonts w:hint="eastAsia"/>
        </w:rPr>
        <w:t>单据入账</w:t>
      </w:r>
    </w:p>
    <w:p w14:paraId="6D3F4D21">
      <w:pPr>
        <w:pStyle w:val="3"/>
      </w:pPr>
      <w:r>
        <w:rPr>
          <w:rFonts w:hint="eastAsia"/>
        </w:rPr>
        <w:t>当科室接收到药品后，系统支持收货科室打印药品单据，核对药品并接收入账，完成整个药品出库过程，实现药品闭环管理。</w:t>
      </w:r>
    </w:p>
    <w:p w14:paraId="361DBAC3">
      <w:pPr>
        <w:pStyle w:val="3"/>
      </w:pPr>
      <w:r>
        <w:rPr>
          <w:rFonts w:hint="eastAsia"/>
        </w:rPr>
        <w:t>系统支持查询历史出库单据信息，单据记录药出库过程完整的闭环信息，方便药库对药品追溯管理。</w:t>
      </w:r>
    </w:p>
    <w:p w14:paraId="34BA857B">
      <w:pPr>
        <w:pStyle w:val="8"/>
        <w:numPr>
          <w:ilvl w:val="5"/>
          <w:numId w:val="16"/>
        </w:numPr>
      </w:pPr>
      <w:r>
        <w:rPr>
          <w:rFonts w:hint="eastAsia"/>
        </w:rPr>
        <w:t>库存管理</w:t>
      </w:r>
    </w:p>
    <w:p w14:paraId="0803141F">
      <w:pPr>
        <w:pStyle w:val="9"/>
        <w:numPr>
          <w:ilvl w:val="6"/>
          <w:numId w:val="16"/>
        </w:numPr>
      </w:pPr>
      <w:r>
        <w:rPr>
          <w:rFonts w:hint="eastAsia"/>
        </w:rPr>
        <w:t>库存查询</w:t>
      </w:r>
    </w:p>
    <w:p w14:paraId="0D0E2551">
      <w:pPr>
        <w:pStyle w:val="3"/>
      </w:pPr>
      <w:r>
        <w:rPr>
          <w:rFonts w:hint="eastAsia"/>
        </w:rPr>
        <w:t>系统支持查询药库中现有的药品，并对不同状态药品进行区分标识，包括正常药品、快过期药品，已经过期药品，方便药库对于药品管理。</w:t>
      </w:r>
    </w:p>
    <w:p w14:paraId="5C59C871">
      <w:pPr>
        <w:pStyle w:val="3"/>
      </w:pPr>
      <w:r>
        <w:rPr>
          <w:rFonts w:hint="eastAsia"/>
        </w:rPr>
        <w:t>另外药库系统还支持对药品可用状态进行管理，例如对于一些药品临时停用失效，对已占用库存的药品释放库存，并支持修改药品批次、失效日期等信息。</w:t>
      </w:r>
    </w:p>
    <w:p w14:paraId="07C433BE">
      <w:pPr>
        <w:pStyle w:val="9"/>
        <w:numPr>
          <w:ilvl w:val="6"/>
          <w:numId w:val="16"/>
        </w:numPr>
      </w:pPr>
      <w:r>
        <w:rPr>
          <w:rFonts w:hint="eastAsia"/>
        </w:rPr>
        <w:t>账页查询</w:t>
      </w:r>
    </w:p>
    <w:p w14:paraId="50584B61">
      <w:pPr>
        <w:pStyle w:val="3"/>
      </w:pPr>
      <w:r>
        <w:rPr>
          <w:rFonts w:hint="eastAsia"/>
        </w:rPr>
        <w:t>药库需要监控药品出入库情况，系统支持记录每一条出入库信息，并通过账页查询能够查询到相应的内容，保证对药品出入库情况有完整的记录和管理</w:t>
      </w:r>
    </w:p>
    <w:p w14:paraId="58F5123D">
      <w:pPr>
        <w:pStyle w:val="9"/>
        <w:numPr>
          <w:ilvl w:val="6"/>
          <w:numId w:val="16"/>
        </w:numPr>
      </w:pPr>
      <w:r>
        <w:rPr>
          <w:rFonts w:hint="eastAsia"/>
        </w:rPr>
        <w:t>库存限量与预警</w:t>
      </w:r>
    </w:p>
    <w:p w14:paraId="1DE1AABC">
      <w:pPr>
        <w:pStyle w:val="3"/>
      </w:pPr>
      <w:r>
        <w:rPr>
          <w:rFonts w:hint="eastAsia"/>
        </w:rPr>
        <w:t>系统支持对药品库存进行限量，设置某项药品的限量库存，当库存低于或者高于设置的限量库存时候，可以快速查询。</w:t>
      </w:r>
    </w:p>
    <w:p w14:paraId="7F629238">
      <w:pPr>
        <w:pStyle w:val="3"/>
      </w:pPr>
      <w:r>
        <w:rPr>
          <w:rFonts w:hint="eastAsia"/>
        </w:rPr>
        <w:t>除库存限量预警外，系统也支持通过消耗量等进行快速查询筛选出相应的药品，并对库存不足的预警药品快速生成采购计划。通过库存预警，药库可以快速了解到库存不足的药品并进行采购。</w:t>
      </w:r>
    </w:p>
    <w:p w14:paraId="6C413E6F">
      <w:pPr>
        <w:pStyle w:val="9"/>
        <w:numPr>
          <w:ilvl w:val="6"/>
          <w:numId w:val="16"/>
        </w:numPr>
      </w:pPr>
      <w:r>
        <w:rPr>
          <w:rFonts w:hint="eastAsia"/>
        </w:rPr>
        <w:t>药品调价</w:t>
      </w:r>
    </w:p>
    <w:p w14:paraId="77088349">
      <w:pPr>
        <w:pStyle w:val="3"/>
      </w:pPr>
      <w:r>
        <w:rPr>
          <w:rFonts w:hint="eastAsia"/>
        </w:rPr>
        <w:t>支持根据物价部门现行的调价文件实现全院统一调价，调整药品的进货价、零售价等信息。</w:t>
      </w:r>
    </w:p>
    <w:p w14:paraId="7CD36E5C">
      <w:pPr>
        <w:pStyle w:val="8"/>
        <w:numPr>
          <w:ilvl w:val="5"/>
          <w:numId w:val="16"/>
        </w:numPr>
      </w:pPr>
      <w:r>
        <w:rPr>
          <w:rFonts w:hint="eastAsia"/>
        </w:rPr>
        <w:t>药品保养</w:t>
      </w:r>
    </w:p>
    <w:p w14:paraId="20C3574D">
      <w:pPr>
        <w:pStyle w:val="3"/>
      </w:pPr>
      <w:r>
        <w:rPr>
          <w:rFonts w:hint="eastAsia"/>
        </w:rPr>
        <w:t>药库需要对药品存储过程进行规范化管理，以防止药品变质，保证药品质量，确保用药安全性和有效性。系统支持药品存储期间，对药品进行保养并生成保养记录，并管理问题药品，形成完整的药品管理闭环。</w:t>
      </w:r>
    </w:p>
    <w:p w14:paraId="4D745D12">
      <w:pPr>
        <w:pStyle w:val="9"/>
        <w:numPr>
          <w:ilvl w:val="6"/>
          <w:numId w:val="16"/>
        </w:numPr>
      </w:pPr>
      <w:r>
        <w:rPr>
          <w:rFonts w:hint="eastAsia"/>
        </w:rPr>
        <w:t>重点药品养护设置</w:t>
      </w:r>
    </w:p>
    <w:p w14:paraId="754A8D4A">
      <w:pPr>
        <w:pStyle w:val="3"/>
      </w:pPr>
      <w:r>
        <w:rPr>
          <w:rFonts w:hint="eastAsia"/>
        </w:rPr>
        <w:t>医院管理员对需要重点养护药品进行设置，重点药品包括常用药品、质量不稳定药品、特殊储存要药品、储存时间较长药品、临近到期药品等，重点药品养护可按照年度进行制定及调整。设置药品后，需要设置时间、部门、养护人员，养护要求等，用于后续养护计划管理</w:t>
      </w:r>
    </w:p>
    <w:p w14:paraId="48D61576">
      <w:pPr>
        <w:pStyle w:val="3"/>
      </w:pPr>
      <w:r>
        <w:rPr>
          <w:rFonts w:hint="eastAsia"/>
        </w:rPr>
        <w:t>系统支持药库管理员对质量不稳定药品、特殊储存要药品、储存时间较长药品、临近到期药品等设置为重点养护药品，并设定相应养护人员，养护要求等，建立药库养护药品系统性清单。</w:t>
      </w:r>
    </w:p>
    <w:p w14:paraId="08923C1A">
      <w:pPr>
        <w:pStyle w:val="9"/>
        <w:numPr>
          <w:ilvl w:val="6"/>
          <w:numId w:val="16"/>
        </w:numPr>
      </w:pPr>
      <w:r>
        <w:rPr>
          <w:rFonts w:hint="eastAsia"/>
        </w:rPr>
        <w:t>药品养护计划生成</w:t>
      </w:r>
    </w:p>
    <w:p w14:paraId="0571B086">
      <w:pPr>
        <w:pStyle w:val="3"/>
      </w:pPr>
      <w:r>
        <w:rPr>
          <w:rFonts w:hint="eastAsia"/>
        </w:rPr>
        <w:t>系统支持管理员建立完备的药品养护计划，并分发给对应的养护人员。保证管理人员通过系统管理整个药品的养护，实时查看到计划完成情况、养护内容、结果等信息。</w:t>
      </w:r>
    </w:p>
    <w:p w14:paraId="122C05C3">
      <w:pPr>
        <w:pStyle w:val="9"/>
        <w:numPr>
          <w:ilvl w:val="6"/>
          <w:numId w:val="16"/>
        </w:numPr>
      </w:pPr>
      <w:r>
        <w:rPr>
          <w:rFonts w:hint="eastAsia"/>
        </w:rPr>
        <w:t>药品在库养护</w:t>
      </w:r>
    </w:p>
    <w:p w14:paraId="4CB72E8F">
      <w:pPr>
        <w:pStyle w:val="3"/>
      </w:pPr>
      <w:r>
        <w:rPr>
          <w:rFonts w:hint="eastAsia"/>
        </w:rPr>
        <w:t>系统支持养护人员，根据养护计划在系统上登记药品养护信息，包括药品质量、处理情况、是否同意继续销售等，并记录有问题的药品、批次等。</w:t>
      </w:r>
    </w:p>
    <w:p w14:paraId="52EFE4F1">
      <w:pPr>
        <w:pStyle w:val="9"/>
        <w:numPr>
          <w:ilvl w:val="6"/>
          <w:numId w:val="16"/>
        </w:numPr>
      </w:pPr>
      <w:r>
        <w:rPr>
          <w:rFonts w:hint="eastAsia"/>
        </w:rPr>
        <w:t>问题药品管理</w:t>
      </w:r>
    </w:p>
    <w:p w14:paraId="075E5C51">
      <w:pPr>
        <w:pStyle w:val="3"/>
      </w:pPr>
      <w:r>
        <w:rPr>
          <w:rFonts w:hint="eastAsia"/>
        </w:rPr>
        <w:t>系统支持质量部门、业务部门查看养护计划，并对养护记录的问题药品进行管理分析，形成系统化文档，实现整个养护计划闭环。</w:t>
      </w:r>
    </w:p>
    <w:p w14:paraId="0DF2E1FA">
      <w:pPr>
        <w:pStyle w:val="8"/>
        <w:numPr>
          <w:ilvl w:val="5"/>
          <w:numId w:val="16"/>
        </w:numPr>
      </w:pPr>
      <w:r>
        <w:rPr>
          <w:rFonts w:hint="eastAsia"/>
        </w:rPr>
        <w:t>盘点结存</w:t>
      </w:r>
    </w:p>
    <w:p w14:paraId="238DBB52">
      <w:pPr>
        <w:pStyle w:val="3"/>
      </w:pPr>
      <w:r>
        <w:rPr>
          <w:rFonts w:hint="eastAsia"/>
        </w:rPr>
        <w:t>系统支持药库定期或者临时对药品实际数量进行清查盘点，并对盘点实际药品数量与库存记录核对冲正，更新实际库存数量。内容包括盘点录入、冲正、查询等功能</w:t>
      </w:r>
    </w:p>
    <w:p w14:paraId="193CE638">
      <w:pPr>
        <w:pStyle w:val="9"/>
        <w:numPr>
          <w:ilvl w:val="6"/>
          <w:numId w:val="16"/>
        </w:numPr>
      </w:pPr>
      <w:r>
        <w:rPr>
          <w:rFonts w:hint="eastAsia"/>
        </w:rPr>
        <w:t>生成盘点单</w:t>
      </w:r>
    </w:p>
    <w:p w14:paraId="5D737E4F">
      <w:pPr>
        <w:pStyle w:val="3"/>
      </w:pPr>
      <w:r>
        <w:rPr>
          <w:rFonts w:hint="eastAsia"/>
        </w:rPr>
        <w:t>系统支持盘点人员手动建立盘点单，盘点单可以通过多种维度建立，例如根据药品种类、批次、价格、毒理、材质、金额等条件，能够适配医院不同的使用习惯和管理要求。</w:t>
      </w:r>
    </w:p>
    <w:p w14:paraId="4BC64AD4">
      <w:pPr>
        <w:pStyle w:val="9"/>
        <w:numPr>
          <w:ilvl w:val="6"/>
          <w:numId w:val="16"/>
        </w:numPr>
      </w:pPr>
      <w:r>
        <w:rPr>
          <w:rFonts w:hint="eastAsia"/>
        </w:rPr>
        <w:t>盘点录入</w:t>
      </w:r>
    </w:p>
    <w:p w14:paraId="094D8C32">
      <w:pPr>
        <w:pStyle w:val="3"/>
      </w:pPr>
      <w:r>
        <w:rPr>
          <w:rFonts w:hint="eastAsia"/>
        </w:rPr>
        <w:t>医院盘点可能是由多人进行操作，系统盘点单也支持多人盘点，并记录盘点人员信息，在盘点过程中，也能够灵活添加删除盘点药品。</w:t>
      </w:r>
    </w:p>
    <w:p w14:paraId="722A7D9F">
      <w:pPr>
        <w:pStyle w:val="3"/>
      </w:pPr>
      <w:r>
        <w:rPr>
          <w:rFonts w:hint="eastAsia"/>
        </w:rPr>
        <w:t>部分医院盘点过程中，可能会有出入库业务，系统也支持盘点过程中不停止业务，盘点期间可以操作出入库，出入库药品进行记录，盘点完成前进行补盘。</w:t>
      </w:r>
    </w:p>
    <w:p w14:paraId="4AE2D7CD">
      <w:pPr>
        <w:pStyle w:val="3"/>
      </w:pPr>
      <w:r>
        <w:rPr>
          <w:rFonts w:hint="eastAsia"/>
        </w:rPr>
        <w:t>另外系统也满足盘点数量快速录入，例如盘点数量等于库存，盘点数量为0等人性化操作，提高盘点人员填写效率。并支持盘点数量复核修改，保证盘点数量与实际数量保持一致。</w:t>
      </w:r>
    </w:p>
    <w:p w14:paraId="54864A5F">
      <w:pPr>
        <w:pStyle w:val="9"/>
        <w:numPr>
          <w:ilvl w:val="6"/>
          <w:numId w:val="16"/>
        </w:numPr>
      </w:pPr>
      <w:r>
        <w:rPr>
          <w:rFonts w:hint="eastAsia"/>
        </w:rPr>
        <w:t>盘点冲正</w:t>
      </w:r>
    </w:p>
    <w:p w14:paraId="7D26D6C6">
      <w:pPr>
        <w:pStyle w:val="3"/>
      </w:pPr>
      <w:r>
        <w:rPr>
          <w:rFonts w:hint="eastAsia"/>
        </w:rPr>
        <w:t>盘点录入后，盘点冲正页面数据实时更新，管理员可查看盘点数量与库存记录差异，管理员可操作冲正将盘点数量更新为系统库存数量，形成完整盘点闭环。如果盘点数量有问题，系统也支持回退重新盘点。</w:t>
      </w:r>
    </w:p>
    <w:p w14:paraId="38767204">
      <w:pPr>
        <w:pStyle w:val="9"/>
        <w:numPr>
          <w:ilvl w:val="6"/>
          <w:numId w:val="16"/>
        </w:numPr>
      </w:pPr>
      <w:r>
        <w:rPr>
          <w:rFonts w:hint="eastAsia"/>
        </w:rPr>
        <w:t>盘点查询</w:t>
      </w:r>
    </w:p>
    <w:p w14:paraId="4DF876D3">
      <w:pPr>
        <w:pStyle w:val="3"/>
      </w:pPr>
      <w:r>
        <w:rPr>
          <w:rFonts w:hint="eastAsia"/>
        </w:rPr>
        <w:t>系统会记录每一次盘点信息，支持查询并进行溯源管理。</w:t>
      </w:r>
    </w:p>
    <w:p w14:paraId="36C961F6">
      <w:pPr>
        <w:pStyle w:val="9"/>
        <w:numPr>
          <w:ilvl w:val="6"/>
          <w:numId w:val="16"/>
        </w:numPr>
      </w:pPr>
      <w:r>
        <w:rPr>
          <w:rFonts w:hint="eastAsia"/>
        </w:rPr>
        <w:t>盘点事件管理</w:t>
      </w:r>
    </w:p>
    <w:p w14:paraId="4617EA70">
      <w:pPr>
        <w:pStyle w:val="3"/>
      </w:pPr>
      <w:r>
        <w:rPr>
          <w:rFonts w:hint="eastAsia"/>
        </w:rPr>
        <w:t>系统支持对已冲正的盘点单进行管理，可对盘点单进行分类管理，方便后续查阅</w:t>
      </w:r>
    </w:p>
    <w:p w14:paraId="7AFBC45D">
      <w:pPr>
        <w:pStyle w:val="9"/>
        <w:numPr>
          <w:ilvl w:val="6"/>
          <w:numId w:val="16"/>
        </w:numPr>
      </w:pPr>
      <w:r>
        <w:rPr>
          <w:rFonts w:hint="eastAsia"/>
        </w:rPr>
        <w:t>药品结存</w:t>
      </w:r>
    </w:p>
    <w:p w14:paraId="26A549D3">
      <w:pPr>
        <w:pStyle w:val="3"/>
      </w:pPr>
      <w:r>
        <w:rPr>
          <w:rFonts w:hint="eastAsia"/>
        </w:rPr>
        <w:t>系统支持对药库入库和出库的单据进行结存，通过结存，支持查看时间范围内进出仓报表、结存汇总表、盈亏明细等相关数据，方便医院进行管理。</w:t>
      </w:r>
    </w:p>
    <w:p w14:paraId="15D3118C">
      <w:pPr>
        <w:pStyle w:val="8"/>
        <w:numPr>
          <w:ilvl w:val="5"/>
          <w:numId w:val="16"/>
        </w:numPr>
      </w:pPr>
      <w:r>
        <w:rPr>
          <w:rFonts w:hint="eastAsia"/>
        </w:rPr>
        <w:t>采购管理</w:t>
      </w:r>
    </w:p>
    <w:p w14:paraId="500F2DB8">
      <w:pPr>
        <w:pStyle w:val="9"/>
        <w:numPr>
          <w:ilvl w:val="6"/>
          <w:numId w:val="16"/>
        </w:numPr>
      </w:pPr>
      <w:r>
        <w:rPr>
          <w:rFonts w:hint="eastAsia"/>
        </w:rPr>
        <w:t>采购计划制定</w:t>
      </w:r>
    </w:p>
    <w:p w14:paraId="267A4F8F">
      <w:pPr>
        <w:pStyle w:val="3"/>
      </w:pPr>
      <w:r>
        <w:rPr>
          <w:rFonts w:hint="eastAsia"/>
        </w:rPr>
        <w:t>系统支持药库工作人员，填写采购申请计划，并将采购计划与库存预警功能相结合，可以通过库存预警快速生成采购计划，另外也支持根据上个月耗量快速生成采购计划。</w:t>
      </w:r>
    </w:p>
    <w:p w14:paraId="371BE707">
      <w:pPr>
        <w:pStyle w:val="9"/>
        <w:numPr>
          <w:ilvl w:val="6"/>
          <w:numId w:val="16"/>
        </w:numPr>
      </w:pPr>
      <w:r>
        <w:rPr>
          <w:rFonts w:hint="eastAsia"/>
        </w:rPr>
        <w:t>采购计划审核与核准</w:t>
      </w:r>
    </w:p>
    <w:p w14:paraId="6EB41634">
      <w:pPr>
        <w:pStyle w:val="3"/>
      </w:pPr>
      <w:r>
        <w:rPr>
          <w:rFonts w:hint="eastAsia"/>
        </w:rPr>
        <w:t>采购计划与医院实际流程相匹配，支持采购计划的多级审核功能，包括采购计划审核、采购计划核准，通过过层次审核保证采购计划的合理性。</w:t>
      </w:r>
    </w:p>
    <w:p w14:paraId="76B1E6EE">
      <w:pPr>
        <w:pStyle w:val="9"/>
        <w:numPr>
          <w:ilvl w:val="6"/>
          <w:numId w:val="16"/>
        </w:numPr>
      </w:pPr>
      <w:r>
        <w:rPr>
          <w:rFonts w:hint="eastAsia"/>
        </w:rPr>
        <w:t>采购计划查询</w:t>
      </w:r>
    </w:p>
    <w:p w14:paraId="5084B2BC">
      <w:pPr>
        <w:pStyle w:val="3"/>
      </w:pPr>
      <w:r>
        <w:rPr>
          <w:rFonts w:hint="eastAsia"/>
        </w:rPr>
        <w:t>采购计划查询对采购计划进行完整闭环管理，记录各个节点闭环信息</w:t>
      </w:r>
    </w:p>
    <w:p w14:paraId="2741720B">
      <w:pPr>
        <w:pStyle w:val="9"/>
        <w:numPr>
          <w:ilvl w:val="6"/>
          <w:numId w:val="16"/>
        </w:numPr>
      </w:pPr>
      <w:r>
        <w:rPr>
          <w:rFonts w:hint="eastAsia"/>
        </w:rPr>
        <w:t>采购单新开</w:t>
      </w:r>
    </w:p>
    <w:p w14:paraId="0F5F8129">
      <w:pPr>
        <w:pStyle w:val="3"/>
      </w:pPr>
      <w:r>
        <w:rPr>
          <w:rFonts w:hint="eastAsia"/>
        </w:rPr>
        <w:t>采购计划核准后，系统支持自动生成采购单，工作人员也可直接建立采购单。</w:t>
      </w:r>
    </w:p>
    <w:p w14:paraId="2F7056DB">
      <w:pPr>
        <w:pStyle w:val="9"/>
        <w:numPr>
          <w:ilvl w:val="6"/>
          <w:numId w:val="16"/>
        </w:numPr>
      </w:pPr>
      <w:r>
        <w:rPr>
          <w:rFonts w:hint="eastAsia"/>
        </w:rPr>
        <w:t>采购单确认</w:t>
      </w:r>
    </w:p>
    <w:p w14:paraId="4AC3732A">
      <w:pPr>
        <w:pStyle w:val="3"/>
      </w:pPr>
      <w:r>
        <w:rPr>
          <w:rFonts w:hint="eastAsia"/>
          <w:color w:val="000000"/>
        </w:rPr>
        <w:t>当采购药品到货后，系统支持采购单到货确认功能，对</w:t>
      </w:r>
      <w:r>
        <w:rPr>
          <w:rFonts w:hint="eastAsia"/>
        </w:rPr>
        <w:t>采购药品、数量和价格信息等进行确认并登记，完成采购过程。完成采购计划后，系统自动将数据同步至入库单据中。</w:t>
      </w:r>
    </w:p>
    <w:p w14:paraId="7BB84FCB">
      <w:pPr>
        <w:pStyle w:val="9"/>
        <w:numPr>
          <w:ilvl w:val="6"/>
          <w:numId w:val="16"/>
        </w:numPr>
      </w:pPr>
      <w:r>
        <w:rPr>
          <w:rFonts w:hint="eastAsia"/>
        </w:rPr>
        <w:t>采购单查询</w:t>
      </w:r>
    </w:p>
    <w:p w14:paraId="3AB43BED">
      <w:pPr>
        <w:pStyle w:val="3"/>
      </w:pPr>
      <w:r>
        <w:rPr>
          <w:rFonts w:hint="eastAsia"/>
        </w:rPr>
        <w:t>系统支持对采购单整体流程闭环管理，记录不同节点闭环信息</w:t>
      </w:r>
    </w:p>
    <w:p w14:paraId="7167D10E">
      <w:pPr>
        <w:pStyle w:val="8"/>
        <w:numPr>
          <w:ilvl w:val="5"/>
          <w:numId w:val="16"/>
        </w:numPr>
      </w:pPr>
      <w:r>
        <w:rPr>
          <w:rFonts w:hint="eastAsia"/>
        </w:rPr>
        <w:t>科室事务</w:t>
      </w:r>
    </w:p>
    <w:p w14:paraId="53FAE696">
      <w:pPr>
        <w:pStyle w:val="9"/>
        <w:numPr>
          <w:ilvl w:val="6"/>
          <w:numId w:val="16"/>
        </w:numPr>
      </w:pPr>
      <w:r>
        <w:rPr>
          <w:rFonts w:hint="eastAsia"/>
        </w:rPr>
        <w:t>大输液管理</w:t>
      </w:r>
    </w:p>
    <w:p w14:paraId="28780B81">
      <w:pPr>
        <w:pStyle w:val="3"/>
      </w:pPr>
      <w:r>
        <w:rPr>
          <w:rFonts w:hint="eastAsia"/>
        </w:rPr>
        <w:t>医院大输液流程与普通药品不一致，一般采用批量配送的方式，系统支持大输液特殊流程，药房摆药后通过大输液管理对病区申请的大输液药品进行批量请领，请领后以药库出库的形式配送到病区。</w:t>
      </w:r>
    </w:p>
    <w:p w14:paraId="1D807ABD">
      <w:pPr>
        <w:pStyle w:val="9"/>
        <w:numPr>
          <w:ilvl w:val="6"/>
          <w:numId w:val="16"/>
        </w:numPr>
      </w:pPr>
      <w:r>
        <w:rPr>
          <w:rFonts w:hint="eastAsia"/>
        </w:rPr>
        <w:t>靶向药用药审核</w:t>
      </w:r>
    </w:p>
    <w:p w14:paraId="7666CEF3">
      <w:pPr>
        <w:pStyle w:val="3"/>
      </w:pPr>
      <w:r>
        <w:rPr>
          <w:rFonts w:hint="eastAsia"/>
        </w:rPr>
        <w:t>系统支持靶向药闭环管理，通过药库工作人员创建靶向卡、靶向卡的申请、批准流程、门诊/住院处方页面开具靶向药完整的流程，对靶向药使用过程进行完整的记录并监控。</w:t>
      </w:r>
    </w:p>
    <w:p w14:paraId="6EBB4CB5">
      <w:pPr>
        <w:pStyle w:val="9"/>
        <w:numPr>
          <w:ilvl w:val="6"/>
          <w:numId w:val="16"/>
        </w:numPr>
      </w:pPr>
      <w:r>
        <w:rPr>
          <w:rFonts w:hint="eastAsia"/>
        </w:rPr>
        <w:t>滞销药品管理</w:t>
      </w:r>
    </w:p>
    <w:p w14:paraId="098196A7">
      <w:pPr>
        <w:pStyle w:val="3"/>
      </w:pPr>
      <w:r>
        <w:rPr>
          <w:rFonts w:hint="eastAsia"/>
        </w:rPr>
        <w:t>部分药品对储存时间有相应的要求，系统支持医院需要对长时间未售出的药品进行管理，通过设置滞销药品的规则，例如时间设置最近3个月，数量设置数量小于10瓶/盒/支，统计相关药品信息，便捷统计出这部分药品，方便后续对滞销药品进行管理。</w:t>
      </w:r>
    </w:p>
    <w:p w14:paraId="4DDBA2DA">
      <w:pPr>
        <w:pStyle w:val="8"/>
        <w:numPr>
          <w:ilvl w:val="5"/>
          <w:numId w:val="16"/>
        </w:numPr>
      </w:pPr>
      <w:r>
        <w:rPr>
          <w:rFonts w:hint="eastAsia"/>
        </w:rPr>
        <w:t>字典维护</w:t>
      </w:r>
    </w:p>
    <w:p w14:paraId="3E609B38">
      <w:pPr>
        <w:pStyle w:val="9"/>
        <w:numPr>
          <w:ilvl w:val="6"/>
          <w:numId w:val="16"/>
        </w:numPr>
      </w:pPr>
      <w:r>
        <w:rPr>
          <w:rFonts w:hint="eastAsia"/>
        </w:rPr>
        <w:t>药品字典维护</w:t>
      </w:r>
    </w:p>
    <w:p w14:paraId="1C4FC454">
      <w:pPr>
        <w:pStyle w:val="3"/>
      </w:pPr>
      <w:r>
        <w:rPr>
          <w:rFonts w:hint="eastAsia"/>
        </w:rPr>
        <w:t>系统支持对药品信息统一管理，可以维护新增的药品，修改药品信息，</w:t>
      </w:r>
      <w:r>
        <w:rPr>
          <w:rFonts w:hint="eastAsia"/>
          <w:color w:val="000000"/>
        </w:rPr>
        <w:t>实现统一规范药品名称</w:t>
      </w:r>
      <w:r>
        <w:rPr>
          <w:rFonts w:hint="eastAsia"/>
        </w:rPr>
        <w:t>。</w:t>
      </w:r>
    </w:p>
    <w:p w14:paraId="44982788">
      <w:pPr>
        <w:pStyle w:val="9"/>
        <w:numPr>
          <w:ilvl w:val="6"/>
          <w:numId w:val="16"/>
        </w:numPr>
      </w:pPr>
      <w:r>
        <w:rPr>
          <w:rFonts w:hint="eastAsia"/>
        </w:rPr>
        <w:t>药品对照</w:t>
      </w:r>
    </w:p>
    <w:p w14:paraId="06D15CD5">
      <w:pPr>
        <w:pStyle w:val="3"/>
      </w:pPr>
      <w:r>
        <w:rPr>
          <w:rFonts w:hint="eastAsia"/>
        </w:rPr>
        <w:t>针对不同系统之间药品对照，系统也建立统一模块进行配置，能够灵活管理药品对照信息。</w:t>
      </w:r>
    </w:p>
    <w:p w14:paraId="5F33354E">
      <w:pPr>
        <w:pStyle w:val="9"/>
        <w:numPr>
          <w:ilvl w:val="6"/>
          <w:numId w:val="16"/>
        </w:numPr>
      </w:pPr>
      <w:r>
        <w:rPr>
          <w:rFonts w:hint="eastAsia"/>
        </w:rPr>
        <w:t>药品货柜维护</w:t>
      </w:r>
    </w:p>
    <w:p w14:paraId="2BC6546C">
      <w:pPr>
        <w:pStyle w:val="3"/>
      </w:pPr>
      <w:r>
        <w:rPr>
          <w:rFonts w:hint="eastAsia"/>
        </w:rPr>
        <w:t>通过维护药品货柜号信息，便于后续出入库快速查找定位药品位置。</w:t>
      </w:r>
    </w:p>
    <w:p w14:paraId="69BF3A1A">
      <w:pPr>
        <w:pStyle w:val="9"/>
        <w:numPr>
          <w:ilvl w:val="6"/>
          <w:numId w:val="16"/>
        </w:numPr>
      </w:pPr>
      <w:r>
        <w:rPr>
          <w:rFonts w:hint="eastAsia"/>
        </w:rPr>
        <w:t>药品出入库类别</w:t>
      </w:r>
    </w:p>
    <w:p w14:paraId="6F1135C5">
      <w:pPr>
        <w:pStyle w:val="3"/>
      </w:pPr>
      <w:r>
        <w:rPr>
          <w:rFonts w:hint="eastAsia"/>
        </w:rPr>
        <w:t>药库药房出入库类型下拉选择，系统也支持灵活配置</w:t>
      </w:r>
    </w:p>
    <w:p w14:paraId="3B2CBA72">
      <w:pPr>
        <w:pStyle w:val="9"/>
        <w:numPr>
          <w:ilvl w:val="6"/>
          <w:numId w:val="16"/>
        </w:numPr>
      </w:pPr>
      <w:r>
        <w:rPr>
          <w:rFonts w:hint="eastAsia"/>
        </w:rPr>
        <w:t>供应商字典</w:t>
      </w:r>
    </w:p>
    <w:p w14:paraId="21DD1DC1">
      <w:pPr>
        <w:pStyle w:val="3"/>
      </w:pPr>
      <w:r>
        <w:rPr>
          <w:rFonts w:hint="eastAsia"/>
        </w:rPr>
        <w:t>系统支持灵活配置涉及单位信息，包括药品生产厂家、药品供应商等。</w:t>
      </w:r>
    </w:p>
    <w:p w14:paraId="529C4549">
      <w:pPr>
        <w:pStyle w:val="9"/>
        <w:numPr>
          <w:ilvl w:val="6"/>
          <w:numId w:val="16"/>
        </w:numPr>
      </w:pPr>
      <w:r>
        <w:rPr>
          <w:rFonts w:hint="eastAsia"/>
        </w:rPr>
        <w:t>特殊药品条件设置</w:t>
      </w:r>
    </w:p>
    <w:p w14:paraId="478C8C14">
      <w:pPr>
        <w:pStyle w:val="3"/>
      </w:pPr>
      <w:r>
        <w:rPr>
          <w:rFonts w:hint="eastAsia"/>
        </w:rPr>
        <w:t>针对部分特殊药品用药限制，系统支持灵活配置相关规则，包括费别（控制某个药品只对某些类型患者使用，患者类型包括省医保、市医保、自费等）、科室（控制某个药品只允许某些科室使用）、职称（控制某个药品只允许某些职称医生开具）、病种（控制某个药品只允许某些病种患者使用）</w:t>
      </w:r>
    </w:p>
    <w:p w14:paraId="4A873AE2">
      <w:pPr>
        <w:pStyle w:val="9"/>
        <w:numPr>
          <w:ilvl w:val="6"/>
          <w:numId w:val="16"/>
        </w:numPr>
      </w:pPr>
      <w:r>
        <w:rPr>
          <w:rFonts w:hint="eastAsia"/>
        </w:rPr>
        <w:t>药品字典发送包药机字段维护</w:t>
      </w:r>
    </w:p>
    <w:p w14:paraId="36B43BC0">
      <w:pPr>
        <w:pStyle w:val="3"/>
      </w:pPr>
      <w:r>
        <w:rPr>
          <w:rFonts w:hint="eastAsia"/>
        </w:rPr>
        <w:t>目前有些医院部分药品采用自动发药机，系统支持针对这部分药品单独管理，选中后这类药品由自动发药机发药。</w:t>
      </w:r>
    </w:p>
    <w:p w14:paraId="0E514FDF">
      <w:pPr>
        <w:pStyle w:val="9"/>
        <w:numPr>
          <w:ilvl w:val="6"/>
          <w:numId w:val="16"/>
        </w:numPr>
      </w:pPr>
      <w:r>
        <w:rPr>
          <w:rFonts w:hint="eastAsia"/>
        </w:rPr>
        <w:t>药品字典结余标志维护</w:t>
      </w:r>
    </w:p>
    <w:p w14:paraId="0E9D9778">
      <w:pPr>
        <w:pStyle w:val="3"/>
      </w:pPr>
      <w:r>
        <w:rPr>
          <w:rFonts w:hint="eastAsia"/>
        </w:rPr>
        <w:t>系统针对可结余药品，也提供了统一维护的界面，维护成结余药品后，住院长嘱结余药品会自动根据频次自动计算，当药品使用完后生成申请单。</w:t>
      </w:r>
    </w:p>
    <w:p w14:paraId="65C0558D">
      <w:pPr>
        <w:pStyle w:val="9"/>
        <w:numPr>
          <w:ilvl w:val="6"/>
          <w:numId w:val="16"/>
        </w:numPr>
      </w:pPr>
      <w:r>
        <w:rPr>
          <w:rFonts w:hint="eastAsia"/>
        </w:rPr>
        <w:t>药品字典皮试流程字段维护</w:t>
      </w:r>
    </w:p>
    <w:p w14:paraId="7F63C28B">
      <w:pPr>
        <w:pStyle w:val="3"/>
      </w:pPr>
      <w:r>
        <w:rPr>
          <w:rFonts w:hint="eastAsia"/>
        </w:rPr>
        <w:t>系统支持配置需要皮试的药品，并提供完善的皮试方案以供医院选择，包括三种：公用皮试剂，先皮试后取药；原液皮试剂，先取全部药品再皮试；单独开皮试处方，选取皮试药品皮试正常后才可取用药处方的药。</w:t>
      </w:r>
    </w:p>
    <w:p w14:paraId="06B1B919">
      <w:pPr>
        <w:pStyle w:val="9"/>
        <w:numPr>
          <w:ilvl w:val="6"/>
          <w:numId w:val="16"/>
        </w:numPr>
      </w:pPr>
      <w:r>
        <w:rPr>
          <w:rFonts w:hint="eastAsia"/>
        </w:rPr>
        <w:t>药品字典打印剂型维护</w:t>
      </w:r>
    </w:p>
    <w:p w14:paraId="5683DD2F">
      <w:pPr>
        <w:pStyle w:val="3"/>
      </w:pPr>
      <w:r>
        <w:rPr>
          <w:rFonts w:hint="eastAsia"/>
        </w:rPr>
        <w:t>支持药品打印剂型批量维护。</w:t>
      </w:r>
    </w:p>
    <w:p w14:paraId="467B118E">
      <w:pPr>
        <w:pStyle w:val="7"/>
        <w:numPr>
          <w:ilvl w:val="4"/>
          <w:numId w:val="16"/>
        </w:numPr>
      </w:pPr>
      <w:bookmarkStart w:id="488" w:name="_Toc147920859"/>
      <w:r>
        <w:rPr>
          <w:rFonts w:hint="eastAsia"/>
        </w:rPr>
        <w:t>门诊药房管理系统</w:t>
      </w:r>
      <w:bookmarkEnd w:id="488"/>
    </w:p>
    <w:p w14:paraId="338E9CC3">
      <w:pPr>
        <w:pStyle w:val="3"/>
      </w:pPr>
      <w:r>
        <w:rPr>
          <w:rFonts w:hint="eastAsia"/>
        </w:rPr>
        <w:t>药房管理系统支持对药房药品入库管理，并将药品出库给其他药房、病区；支持对药房药品进行查询、盘点、采购、保养管理等操作.</w:t>
      </w:r>
      <w:r>
        <w:rPr>
          <w:rFonts w:hint="eastAsia" w:asciiTheme="minorEastAsia" w:hAnsiTheme="minorEastAsia" w:eastAsiaTheme="minorEastAsia"/>
        </w:rPr>
        <w:t xml:space="preserve"> 具备支持以下功能：</w:t>
      </w:r>
    </w:p>
    <w:p w14:paraId="2AB18801">
      <w:pPr>
        <w:pStyle w:val="8"/>
        <w:numPr>
          <w:ilvl w:val="5"/>
          <w:numId w:val="16"/>
        </w:numPr>
      </w:pPr>
      <w:r>
        <w:rPr>
          <w:rFonts w:hint="eastAsia"/>
        </w:rPr>
        <w:t>入库管理</w:t>
      </w:r>
    </w:p>
    <w:p w14:paraId="2AC84CB0">
      <w:pPr>
        <w:pStyle w:val="3"/>
      </w:pPr>
      <w:r>
        <w:rPr>
          <w:rFonts w:hint="eastAsia"/>
        </w:rPr>
        <w:t>支持药品退药、采购等入库操作，并在入库过程中按照登记、审核、入账的流程，实现完整的药品入库闭环。</w:t>
      </w:r>
    </w:p>
    <w:p w14:paraId="05682D16">
      <w:pPr>
        <w:pStyle w:val="9"/>
        <w:numPr>
          <w:ilvl w:val="6"/>
          <w:numId w:val="16"/>
        </w:numPr>
      </w:pPr>
      <w:r>
        <w:rPr>
          <w:rFonts w:hint="eastAsia"/>
        </w:rPr>
        <w:t>新开单据</w:t>
      </w:r>
    </w:p>
    <w:p w14:paraId="5AE63052">
      <w:pPr>
        <w:pStyle w:val="3"/>
      </w:pPr>
      <w:r>
        <w:rPr>
          <w:rFonts w:hint="eastAsia"/>
        </w:rPr>
        <w:t>药品单据登记支持配置不同的类型，例如领药入库、退药入库等，登记过程需要补充完善药品相关信息，登记完成后由审核人员进行审核。</w:t>
      </w:r>
    </w:p>
    <w:p w14:paraId="7B76E967">
      <w:pPr>
        <w:pStyle w:val="9"/>
        <w:numPr>
          <w:ilvl w:val="6"/>
          <w:numId w:val="16"/>
        </w:numPr>
      </w:pPr>
      <w:r>
        <w:rPr>
          <w:rFonts w:hint="eastAsia"/>
        </w:rPr>
        <w:t>单据审核</w:t>
      </w:r>
    </w:p>
    <w:p w14:paraId="76113188">
      <w:pPr>
        <w:pStyle w:val="3"/>
      </w:pPr>
      <w:r>
        <w:rPr>
          <w:rFonts w:hint="eastAsia"/>
        </w:rPr>
        <w:t>系统支持对登记后的入库单据进行审核操作，并记录闭环中需要的节点信息，包括时间，审核人等</w:t>
      </w:r>
    </w:p>
    <w:p w14:paraId="7650D325">
      <w:pPr>
        <w:pStyle w:val="9"/>
        <w:numPr>
          <w:ilvl w:val="6"/>
          <w:numId w:val="16"/>
        </w:numPr>
      </w:pPr>
      <w:r>
        <w:rPr>
          <w:rFonts w:hint="eastAsia"/>
        </w:rPr>
        <w:t>单据入账</w:t>
      </w:r>
    </w:p>
    <w:p w14:paraId="3D7F5483">
      <w:pPr>
        <w:pStyle w:val="3"/>
      </w:pPr>
      <w:r>
        <w:rPr>
          <w:rFonts w:hint="eastAsia"/>
        </w:rPr>
        <w:t>当收到药品后，支持药房管理人员打印入库单，根据入库单上的药品种类和数量，与实际数量进行确认，保证入库药品质量、数量，完成整个入库流程。</w:t>
      </w:r>
    </w:p>
    <w:p w14:paraId="6E6B41B2">
      <w:pPr>
        <w:pStyle w:val="3"/>
      </w:pPr>
      <w:r>
        <w:rPr>
          <w:rFonts w:hint="eastAsia"/>
        </w:rPr>
        <w:t>系统支持查询历史单据信息，单据记录药品入库过程完整的闭环信息，方便药房对药品追溯管理。</w:t>
      </w:r>
    </w:p>
    <w:p w14:paraId="51C5BFDE">
      <w:pPr>
        <w:pStyle w:val="8"/>
        <w:numPr>
          <w:ilvl w:val="5"/>
          <w:numId w:val="16"/>
        </w:numPr>
      </w:pPr>
      <w:r>
        <w:rPr>
          <w:rFonts w:hint="eastAsia"/>
        </w:rPr>
        <w:t>出库管理</w:t>
      </w:r>
    </w:p>
    <w:p w14:paraId="0DA0A3D6">
      <w:pPr>
        <w:pStyle w:val="3"/>
        <w:rPr>
          <w:rFonts w:ascii="Arial" w:hAnsi="Arial" w:eastAsia="黑体"/>
          <w:b/>
          <w:szCs w:val="28"/>
        </w:rPr>
      </w:pPr>
      <w:r>
        <w:rPr>
          <w:rFonts w:hint="eastAsia"/>
        </w:rPr>
        <w:t>支持对科室申请、药房登记、审核、科室接收入账整个药品出库流程进行记录，实现出库闭环操作</w:t>
      </w:r>
    </w:p>
    <w:p w14:paraId="2A890299">
      <w:pPr>
        <w:pStyle w:val="9"/>
        <w:numPr>
          <w:ilvl w:val="6"/>
          <w:numId w:val="16"/>
        </w:numPr>
      </w:pPr>
      <w:r>
        <w:rPr>
          <w:rFonts w:hint="eastAsia"/>
        </w:rPr>
        <w:t>出库请求</w:t>
      </w:r>
    </w:p>
    <w:p w14:paraId="5FFAEF37">
      <w:pPr>
        <w:pStyle w:val="3"/>
      </w:pPr>
      <w:r>
        <w:rPr>
          <w:rFonts w:hint="eastAsia"/>
        </w:rPr>
        <w:t>系统支持由病区、其他药房根据所在科室药品情况，自主向本药房申请药品，通过药房审核出库方式领取药品。</w:t>
      </w:r>
    </w:p>
    <w:p w14:paraId="7B2011C9">
      <w:pPr>
        <w:pStyle w:val="3"/>
      </w:pPr>
      <w:r>
        <w:rPr>
          <w:rFonts w:hint="eastAsia"/>
        </w:rPr>
        <w:t>科室申请后，药房管理人员审核后可以对科室申请药品转成出库单。</w:t>
      </w:r>
    </w:p>
    <w:p w14:paraId="2953A601">
      <w:pPr>
        <w:pStyle w:val="9"/>
        <w:numPr>
          <w:ilvl w:val="6"/>
          <w:numId w:val="16"/>
        </w:numPr>
      </w:pPr>
      <w:r>
        <w:rPr>
          <w:rFonts w:hint="eastAsia"/>
        </w:rPr>
        <w:t>新开单据</w:t>
      </w:r>
    </w:p>
    <w:p w14:paraId="2B5BC960">
      <w:pPr>
        <w:pStyle w:val="3"/>
      </w:pPr>
      <w:r>
        <w:rPr>
          <w:rFonts w:hint="eastAsia"/>
        </w:rPr>
        <w:t>根据支持不同出库单登记方式：科室申请审核后转成出库单、药房手动填写出库单、入库单转成出库单，能够适配不同的医院场景需求。</w:t>
      </w:r>
    </w:p>
    <w:p w14:paraId="6E83DC3A">
      <w:pPr>
        <w:pStyle w:val="3"/>
      </w:pPr>
      <w:r>
        <w:rPr>
          <w:rFonts w:hint="eastAsia"/>
        </w:rPr>
        <w:t>1.手动开单</w:t>
      </w:r>
    </w:p>
    <w:p w14:paraId="24B314F3">
      <w:pPr>
        <w:pStyle w:val="3"/>
      </w:pPr>
      <w:r>
        <w:rPr>
          <w:rFonts w:hint="eastAsia"/>
        </w:rPr>
        <w:t>出库单支持配置不同的类型，例如领用出库、报损出库、退货出库等，登记过程需要补充完善数量等信息，登记完成后由审核人员进行审核。</w:t>
      </w:r>
    </w:p>
    <w:p w14:paraId="65A236DD">
      <w:pPr>
        <w:pStyle w:val="3"/>
      </w:pPr>
      <w:r>
        <w:rPr>
          <w:rFonts w:hint="eastAsia"/>
        </w:rPr>
        <w:t>2</w:t>
      </w:r>
      <w:r>
        <w:t>.</w:t>
      </w:r>
      <w:r>
        <w:rPr>
          <w:rFonts w:hint="eastAsia"/>
        </w:rPr>
        <w:t>其他药房/科室请领开单</w:t>
      </w:r>
    </w:p>
    <w:p w14:paraId="24D40E88">
      <w:pPr>
        <w:pStyle w:val="3"/>
      </w:pPr>
      <w:r>
        <w:rPr>
          <w:rFonts w:hint="eastAsia"/>
        </w:rPr>
        <w:t>科室发起请领后，药房审核后转成出库单</w:t>
      </w:r>
    </w:p>
    <w:p w14:paraId="191D660F">
      <w:pPr>
        <w:pStyle w:val="3"/>
      </w:pPr>
      <w:r>
        <w:rPr>
          <w:rFonts w:hint="eastAsia"/>
        </w:rPr>
        <w:t>3</w:t>
      </w:r>
      <w:r>
        <w:t>.</w:t>
      </w:r>
      <w:r>
        <w:rPr>
          <w:rFonts w:hint="eastAsia"/>
        </w:rPr>
        <w:t>入库单转出库单</w:t>
      </w:r>
    </w:p>
    <w:p w14:paraId="3845FBA3">
      <w:pPr>
        <w:pStyle w:val="3"/>
      </w:pPr>
      <w:r>
        <w:rPr>
          <w:rFonts w:hint="eastAsia"/>
        </w:rPr>
        <w:t>入库的单据支持转成出库单</w:t>
      </w:r>
    </w:p>
    <w:p w14:paraId="4180C3CF">
      <w:pPr>
        <w:pStyle w:val="9"/>
        <w:numPr>
          <w:ilvl w:val="6"/>
          <w:numId w:val="16"/>
        </w:numPr>
      </w:pPr>
      <w:r>
        <w:rPr>
          <w:rFonts w:hint="eastAsia"/>
        </w:rPr>
        <w:t>单据审核</w:t>
      </w:r>
    </w:p>
    <w:p w14:paraId="41CE46B8">
      <w:pPr>
        <w:pStyle w:val="3"/>
      </w:pPr>
      <w:r>
        <w:rPr>
          <w:rFonts w:hint="eastAsia"/>
        </w:rPr>
        <w:t>系统支持对登记后的出库单据进行审核操作，并记录闭环中需要的节点信息，包括时间，审核人等</w:t>
      </w:r>
    </w:p>
    <w:p w14:paraId="4CD9658B">
      <w:pPr>
        <w:pStyle w:val="9"/>
        <w:numPr>
          <w:ilvl w:val="6"/>
          <w:numId w:val="16"/>
        </w:numPr>
      </w:pPr>
      <w:r>
        <w:rPr>
          <w:rFonts w:hint="eastAsia"/>
        </w:rPr>
        <w:t>单据入账</w:t>
      </w:r>
    </w:p>
    <w:p w14:paraId="1F976D18">
      <w:pPr>
        <w:pStyle w:val="3"/>
      </w:pPr>
      <w:r>
        <w:rPr>
          <w:rFonts w:hint="eastAsia"/>
        </w:rPr>
        <w:t>当科室接收到药品后，系统支持收货科室打印药品单据，核对药品并接收入账，完成整个药品出库过程，实现药品闭环管理。</w:t>
      </w:r>
    </w:p>
    <w:p w14:paraId="6F245A0A">
      <w:pPr>
        <w:pStyle w:val="3"/>
      </w:pPr>
      <w:r>
        <w:rPr>
          <w:rFonts w:hint="eastAsia"/>
        </w:rPr>
        <w:t>系统支持查询历史出库单据信息，单据记录药出库过程完整的闭环信息，方便药房对药品追溯管理。</w:t>
      </w:r>
    </w:p>
    <w:p w14:paraId="73495668">
      <w:pPr>
        <w:pStyle w:val="8"/>
        <w:numPr>
          <w:ilvl w:val="5"/>
          <w:numId w:val="16"/>
        </w:numPr>
      </w:pPr>
      <w:r>
        <w:rPr>
          <w:rFonts w:hint="eastAsia"/>
        </w:rPr>
        <w:t>库存管理</w:t>
      </w:r>
    </w:p>
    <w:p w14:paraId="0DBDB87C">
      <w:pPr>
        <w:pStyle w:val="9"/>
        <w:numPr>
          <w:ilvl w:val="6"/>
          <w:numId w:val="16"/>
        </w:numPr>
      </w:pPr>
      <w:r>
        <w:rPr>
          <w:rFonts w:hint="eastAsia"/>
        </w:rPr>
        <w:t>库存查询</w:t>
      </w:r>
    </w:p>
    <w:p w14:paraId="7604FB84">
      <w:pPr>
        <w:pStyle w:val="3"/>
      </w:pPr>
      <w:r>
        <w:rPr>
          <w:rFonts w:hint="eastAsia"/>
        </w:rPr>
        <w:t>系统支持查询药房中现有的药品，并对不同状态药品进行区分标识，包括正常药品、快过期药品，已经过期药品，方便药库对于药品管理。</w:t>
      </w:r>
    </w:p>
    <w:p w14:paraId="31E00653">
      <w:pPr>
        <w:pStyle w:val="3"/>
      </w:pPr>
      <w:r>
        <w:rPr>
          <w:rFonts w:hint="eastAsia"/>
        </w:rPr>
        <w:t>另外药房系统还支持对药品可用状态进行管理，例如对于一些药品临时停用失效，对已占用库存的药品释放库存，并支持修改药品批次、失效日期等信息。</w:t>
      </w:r>
    </w:p>
    <w:p w14:paraId="7F1CCD4C">
      <w:pPr>
        <w:pStyle w:val="9"/>
        <w:numPr>
          <w:ilvl w:val="6"/>
          <w:numId w:val="16"/>
        </w:numPr>
      </w:pPr>
      <w:r>
        <w:rPr>
          <w:rFonts w:hint="eastAsia"/>
        </w:rPr>
        <w:t>账页查询</w:t>
      </w:r>
    </w:p>
    <w:p w14:paraId="3711F619">
      <w:pPr>
        <w:pStyle w:val="3"/>
      </w:pPr>
      <w:r>
        <w:rPr>
          <w:rFonts w:hint="eastAsia"/>
        </w:rPr>
        <w:t>药房需要监控药品出入库情况，系统支持记录每一条出入库信息，并通过账页查询能够查询到相应的内容，保证对药品出入库情况有完整的记录和管理</w:t>
      </w:r>
    </w:p>
    <w:p w14:paraId="755EBB9E">
      <w:pPr>
        <w:pStyle w:val="9"/>
        <w:numPr>
          <w:ilvl w:val="6"/>
          <w:numId w:val="16"/>
        </w:numPr>
      </w:pPr>
      <w:r>
        <w:rPr>
          <w:rFonts w:hint="eastAsia"/>
        </w:rPr>
        <w:t>库存限量与预警</w:t>
      </w:r>
    </w:p>
    <w:p w14:paraId="5A5772DC">
      <w:pPr>
        <w:pStyle w:val="3"/>
      </w:pPr>
      <w:r>
        <w:rPr>
          <w:rFonts w:hint="eastAsia"/>
        </w:rPr>
        <w:t>系统支持对药品库存进行限量，设置某项药品的限量库存，当库存低于或者高于设置的限量库存时候，可以快速查询。</w:t>
      </w:r>
    </w:p>
    <w:p w14:paraId="43DD2BD5">
      <w:pPr>
        <w:pStyle w:val="3"/>
      </w:pPr>
      <w:r>
        <w:rPr>
          <w:rFonts w:hint="eastAsia"/>
        </w:rPr>
        <w:t>除库存限量预警外，系统也支持通过消耗量等进行快速查询筛选出相应的药品，并对库存不足的预警药品快速生成采购计划。通过库存预警，药库可以快速了解到库存不足的药品并进行采购。</w:t>
      </w:r>
    </w:p>
    <w:p w14:paraId="4A59FC38">
      <w:pPr>
        <w:pStyle w:val="8"/>
        <w:numPr>
          <w:ilvl w:val="5"/>
          <w:numId w:val="16"/>
        </w:numPr>
      </w:pPr>
      <w:r>
        <w:rPr>
          <w:rFonts w:hint="eastAsia"/>
        </w:rPr>
        <w:t>盘点结存</w:t>
      </w:r>
    </w:p>
    <w:p w14:paraId="27A1F681">
      <w:pPr>
        <w:pStyle w:val="3"/>
      </w:pPr>
      <w:r>
        <w:rPr>
          <w:rFonts w:hint="eastAsia"/>
        </w:rPr>
        <w:t>系统支持药房定期或者临时对药品实际数量进行清查盘点，并对盘点实际药品数量与库存记录核对冲正，更新实际库存数量。内容包括盘点录入、冲正、查询等功能</w:t>
      </w:r>
    </w:p>
    <w:p w14:paraId="03478A80">
      <w:pPr>
        <w:pStyle w:val="9"/>
        <w:numPr>
          <w:ilvl w:val="6"/>
          <w:numId w:val="16"/>
        </w:numPr>
      </w:pPr>
      <w:r>
        <w:rPr>
          <w:rFonts w:hint="eastAsia"/>
        </w:rPr>
        <w:t>生成盘点单</w:t>
      </w:r>
    </w:p>
    <w:p w14:paraId="669B808F">
      <w:pPr>
        <w:pStyle w:val="3"/>
      </w:pPr>
      <w:r>
        <w:rPr>
          <w:rFonts w:hint="eastAsia"/>
        </w:rPr>
        <w:t>系统支持盘点人员手动建立盘点单，盘点单可以通过多种维度建立，例如根据药品种类、批次、价格、毒理、材质、金额等条件，能够适配医院不同的使用习惯和管理要求。</w:t>
      </w:r>
    </w:p>
    <w:p w14:paraId="492E0B2F">
      <w:pPr>
        <w:pStyle w:val="9"/>
        <w:numPr>
          <w:ilvl w:val="6"/>
          <w:numId w:val="16"/>
        </w:numPr>
      </w:pPr>
      <w:r>
        <w:rPr>
          <w:rFonts w:hint="eastAsia"/>
        </w:rPr>
        <w:t>盘点录入</w:t>
      </w:r>
    </w:p>
    <w:p w14:paraId="75AD4F2F">
      <w:pPr>
        <w:pStyle w:val="3"/>
      </w:pPr>
      <w:r>
        <w:rPr>
          <w:rFonts w:hint="eastAsia"/>
        </w:rPr>
        <w:t>医院盘点可能是由多人进行操作，系统盘点单也支持多人盘点，并记录盘点人员信息，在盘点过程中，也能够灵活添加删除盘点药品。</w:t>
      </w:r>
    </w:p>
    <w:p w14:paraId="00FB775A">
      <w:pPr>
        <w:pStyle w:val="3"/>
      </w:pPr>
      <w:r>
        <w:rPr>
          <w:rFonts w:hint="eastAsia"/>
        </w:rPr>
        <w:t>部分医院盘点过程中，可能会有出入库业务，系统也支持盘点过程中不停止业务，盘点期间可以操作出入库，出入库药品进行记录，盘点完成前进行补盘。</w:t>
      </w:r>
    </w:p>
    <w:p w14:paraId="598CA53E">
      <w:pPr>
        <w:pStyle w:val="3"/>
      </w:pPr>
      <w:r>
        <w:rPr>
          <w:rFonts w:hint="eastAsia"/>
        </w:rPr>
        <w:t>另外系统也满足盘点数量快速录入，例如盘点数量等于库存，盘点数量为0等人性化操作，提高盘点人员填写效率。并支持盘点数量复核修改，保证盘点数量与实际数量保持一致。</w:t>
      </w:r>
    </w:p>
    <w:p w14:paraId="40ACAD79">
      <w:pPr>
        <w:pStyle w:val="9"/>
        <w:numPr>
          <w:ilvl w:val="6"/>
          <w:numId w:val="16"/>
        </w:numPr>
      </w:pPr>
      <w:r>
        <w:rPr>
          <w:rFonts w:hint="eastAsia"/>
        </w:rPr>
        <w:t>盘点冲正</w:t>
      </w:r>
    </w:p>
    <w:p w14:paraId="7F9AB2E8">
      <w:pPr>
        <w:pStyle w:val="3"/>
      </w:pPr>
      <w:r>
        <w:rPr>
          <w:rFonts w:hint="eastAsia"/>
        </w:rPr>
        <w:t>盘点录入后，盘点冲正页面数据实时更新，管理员可查看盘点数量与库存记录差异，管理员可操作冲正将盘点数量更新为系统库存数量，形成完整盘点闭环。如果盘点数量有问题，系统也支持回退重新盘点。</w:t>
      </w:r>
    </w:p>
    <w:p w14:paraId="252845E8">
      <w:pPr>
        <w:pStyle w:val="9"/>
        <w:numPr>
          <w:ilvl w:val="6"/>
          <w:numId w:val="16"/>
        </w:numPr>
      </w:pPr>
      <w:r>
        <w:rPr>
          <w:rFonts w:hint="eastAsia"/>
        </w:rPr>
        <w:t>盘点查询</w:t>
      </w:r>
    </w:p>
    <w:p w14:paraId="133C558B">
      <w:pPr>
        <w:pStyle w:val="3"/>
      </w:pPr>
      <w:r>
        <w:rPr>
          <w:rFonts w:hint="eastAsia"/>
        </w:rPr>
        <w:t>系统会记录每一次盘点信息，支持查询并进行溯源管理。</w:t>
      </w:r>
    </w:p>
    <w:p w14:paraId="5B04DB65">
      <w:pPr>
        <w:pStyle w:val="9"/>
        <w:numPr>
          <w:ilvl w:val="6"/>
          <w:numId w:val="16"/>
        </w:numPr>
      </w:pPr>
      <w:r>
        <w:rPr>
          <w:rFonts w:hint="eastAsia"/>
        </w:rPr>
        <w:t>盘点事件管理</w:t>
      </w:r>
    </w:p>
    <w:p w14:paraId="069C9825">
      <w:pPr>
        <w:pStyle w:val="3"/>
      </w:pPr>
      <w:r>
        <w:rPr>
          <w:rFonts w:hint="eastAsia"/>
        </w:rPr>
        <w:t>系统支持对已冲正的盘点单进行管理，可对盘点单进行分类管理，方便后续查阅</w:t>
      </w:r>
    </w:p>
    <w:p w14:paraId="79D17F7B">
      <w:pPr>
        <w:pStyle w:val="9"/>
        <w:numPr>
          <w:ilvl w:val="6"/>
          <w:numId w:val="16"/>
        </w:numPr>
      </w:pPr>
      <w:r>
        <w:rPr>
          <w:rFonts w:hint="eastAsia"/>
        </w:rPr>
        <w:t>药品结存</w:t>
      </w:r>
    </w:p>
    <w:p w14:paraId="3FD0639B">
      <w:pPr>
        <w:pStyle w:val="3"/>
      </w:pPr>
      <w:r>
        <w:rPr>
          <w:rFonts w:hint="eastAsia"/>
        </w:rPr>
        <w:t>系统支持对药房入库和出库的单据进行结存，通过结存，支持查看时间范围内进出仓报表、结存汇总表、盈亏明细等相关数据，方便医院进行管理。</w:t>
      </w:r>
    </w:p>
    <w:p w14:paraId="6836AD3D">
      <w:pPr>
        <w:pStyle w:val="8"/>
        <w:numPr>
          <w:ilvl w:val="5"/>
          <w:numId w:val="16"/>
        </w:numPr>
      </w:pPr>
      <w:r>
        <w:rPr>
          <w:rFonts w:hint="eastAsia"/>
        </w:rPr>
        <w:t>科室事务</w:t>
      </w:r>
    </w:p>
    <w:p w14:paraId="5AE7D7FC">
      <w:pPr>
        <w:pStyle w:val="9"/>
        <w:numPr>
          <w:ilvl w:val="6"/>
          <w:numId w:val="16"/>
        </w:numPr>
      </w:pPr>
      <w:r>
        <w:rPr>
          <w:rFonts w:hint="eastAsia"/>
        </w:rPr>
        <w:t>科室药品管理</w:t>
      </w:r>
    </w:p>
    <w:p w14:paraId="77C7B097">
      <w:pPr>
        <w:pStyle w:val="3"/>
      </w:pPr>
      <w:r>
        <w:rPr>
          <w:rFonts w:hint="eastAsia"/>
        </w:rPr>
        <w:t>系统支持药房通过药品申请，并通过药房内部审核后，向药库请领药品。</w:t>
      </w:r>
    </w:p>
    <w:p w14:paraId="09E414CB">
      <w:pPr>
        <w:pStyle w:val="9"/>
        <w:numPr>
          <w:ilvl w:val="6"/>
          <w:numId w:val="16"/>
        </w:numPr>
      </w:pPr>
      <w:r>
        <w:rPr>
          <w:rFonts w:hint="eastAsia"/>
        </w:rPr>
        <w:t>麻醉药品台账</w:t>
      </w:r>
    </w:p>
    <w:p w14:paraId="03C170F5">
      <w:pPr>
        <w:pStyle w:val="3"/>
      </w:pPr>
      <w:r>
        <w:rPr>
          <w:rFonts w:hint="eastAsia"/>
        </w:rPr>
        <w:t>医院对麻醉药品管理有特殊要求，系统支持全方位记录麻醉药品使用能过程，麻醉药品出库时，记录人员、时间、数量等信息，使用过程中记录患者、诊断等信息，对麻醉药品使用闭环监控。</w:t>
      </w:r>
    </w:p>
    <w:p w14:paraId="2757AE37">
      <w:pPr>
        <w:pStyle w:val="8"/>
        <w:numPr>
          <w:ilvl w:val="5"/>
          <w:numId w:val="16"/>
        </w:numPr>
      </w:pPr>
      <w:r>
        <w:rPr>
          <w:rFonts w:hint="eastAsia"/>
        </w:rPr>
        <w:t>字典维护</w:t>
      </w:r>
    </w:p>
    <w:p w14:paraId="5C1F9EC7">
      <w:pPr>
        <w:pStyle w:val="9"/>
        <w:numPr>
          <w:ilvl w:val="6"/>
          <w:numId w:val="16"/>
        </w:numPr>
      </w:pPr>
      <w:r>
        <w:rPr>
          <w:rFonts w:hint="eastAsia"/>
        </w:rPr>
        <w:t>药品货柜维护</w:t>
      </w:r>
    </w:p>
    <w:p w14:paraId="5427D216">
      <w:pPr>
        <w:pStyle w:val="3"/>
      </w:pPr>
      <w:r>
        <w:rPr>
          <w:rFonts w:hint="eastAsia"/>
        </w:rPr>
        <w:t>支持通过维护药品货柜号信息，便于后续出入库快速查找定位药品位置。</w:t>
      </w:r>
    </w:p>
    <w:p w14:paraId="244C9816">
      <w:pPr>
        <w:pStyle w:val="7"/>
        <w:numPr>
          <w:ilvl w:val="4"/>
          <w:numId w:val="16"/>
        </w:numPr>
      </w:pPr>
      <w:r>
        <w:rPr>
          <w:rFonts w:hint="eastAsia"/>
        </w:rPr>
        <w:t>住院药房管理系统</w:t>
      </w:r>
    </w:p>
    <w:p w14:paraId="20414E7D">
      <w:pPr>
        <w:pStyle w:val="3"/>
      </w:pPr>
      <w:r>
        <w:rPr>
          <w:rFonts w:hint="eastAsia"/>
        </w:rPr>
        <w:t>药房管理系统支持对药房药品入库管理，并将药品出库给其他药房、病区；支持对药房药品进行查询、盘点、采购、保养管理等操作。</w:t>
      </w:r>
      <w:r>
        <w:rPr>
          <w:rFonts w:hint="eastAsia" w:asciiTheme="minorEastAsia" w:hAnsiTheme="minorEastAsia" w:eastAsiaTheme="minorEastAsia"/>
        </w:rPr>
        <w:t>具备支持以下功能：</w:t>
      </w:r>
    </w:p>
    <w:p w14:paraId="57DB034C">
      <w:pPr>
        <w:pStyle w:val="8"/>
        <w:numPr>
          <w:ilvl w:val="5"/>
          <w:numId w:val="16"/>
        </w:numPr>
      </w:pPr>
      <w:r>
        <w:rPr>
          <w:rFonts w:hint="eastAsia"/>
        </w:rPr>
        <w:t>入库管理</w:t>
      </w:r>
    </w:p>
    <w:p w14:paraId="5619718E">
      <w:pPr>
        <w:pStyle w:val="3"/>
      </w:pPr>
      <w:r>
        <w:rPr>
          <w:rFonts w:hint="eastAsia"/>
        </w:rPr>
        <w:t>支持药品退药、采购等入库操作，并在入库过程中按照登记、审核、入账的流程，实现完整的药品入库闭环。</w:t>
      </w:r>
    </w:p>
    <w:p w14:paraId="6010D8F3">
      <w:pPr>
        <w:pStyle w:val="9"/>
        <w:numPr>
          <w:ilvl w:val="6"/>
          <w:numId w:val="16"/>
        </w:numPr>
      </w:pPr>
      <w:r>
        <w:rPr>
          <w:rFonts w:hint="eastAsia"/>
        </w:rPr>
        <w:t>新开单据</w:t>
      </w:r>
    </w:p>
    <w:p w14:paraId="58CAB86D">
      <w:pPr>
        <w:pStyle w:val="3"/>
      </w:pPr>
      <w:r>
        <w:rPr>
          <w:rFonts w:hint="eastAsia"/>
        </w:rPr>
        <w:t>药品单据登记支持配置不同的类型，例如领药入库、退药入库等，登记过程需要补充完善药品相关信息，登记完成后由审核人员进行审核。</w:t>
      </w:r>
    </w:p>
    <w:p w14:paraId="1BB04C57">
      <w:pPr>
        <w:pStyle w:val="9"/>
        <w:numPr>
          <w:ilvl w:val="6"/>
          <w:numId w:val="16"/>
        </w:numPr>
      </w:pPr>
      <w:r>
        <w:rPr>
          <w:rFonts w:hint="eastAsia"/>
        </w:rPr>
        <w:t>单据审核</w:t>
      </w:r>
    </w:p>
    <w:p w14:paraId="051CF094">
      <w:pPr>
        <w:pStyle w:val="3"/>
      </w:pPr>
      <w:r>
        <w:rPr>
          <w:rFonts w:hint="eastAsia"/>
        </w:rPr>
        <w:t>系统支持对登记后的入库单据进行审核操作，并记录闭环中需要的节点信息，包括时间，审核人等</w:t>
      </w:r>
    </w:p>
    <w:p w14:paraId="32BEE149">
      <w:pPr>
        <w:pStyle w:val="9"/>
        <w:numPr>
          <w:ilvl w:val="6"/>
          <w:numId w:val="16"/>
        </w:numPr>
      </w:pPr>
      <w:r>
        <w:rPr>
          <w:rFonts w:hint="eastAsia"/>
        </w:rPr>
        <w:t>单据入账</w:t>
      </w:r>
    </w:p>
    <w:p w14:paraId="1C885189">
      <w:pPr>
        <w:pStyle w:val="3"/>
      </w:pPr>
      <w:r>
        <w:rPr>
          <w:rFonts w:hint="eastAsia"/>
        </w:rPr>
        <w:t>当收到药品后，支持药房管理人员打印入库单，根据入库单上的药品种类和数量，与实际数量进行确认，保证入库药品质量、数量，完成整个入库流程。</w:t>
      </w:r>
    </w:p>
    <w:p w14:paraId="6F60282D">
      <w:pPr>
        <w:pStyle w:val="3"/>
      </w:pPr>
      <w:r>
        <w:rPr>
          <w:rFonts w:hint="eastAsia"/>
        </w:rPr>
        <w:t>系统支持查询历史单据信息，单据记录药品入库过程完整的闭环信息，方便药房对药品追溯管理。</w:t>
      </w:r>
    </w:p>
    <w:p w14:paraId="5A5E52FE">
      <w:pPr>
        <w:pStyle w:val="8"/>
        <w:numPr>
          <w:ilvl w:val="5"/>
          <w:numId w:val="16"/>
        </w:numPr>
      </w:pPr>
      <w:r>
        <w:rPr>
          <w:rFonts w:hint="eastAsia"/>
        </w:rPr>
        <w:t>出库管理</w:t>
      </w:r>
    </w:p>
    <w:p w14:paraId="26B21B26">
      <w:pPr>
        <w:pStyle w:val="3"/>
        <w:rPr>
          <w:rFonts w:ascii="Arial" w:hAnsi="Arial" w:eastAsia="黑体"/>
          <w:b/>
          <w:szCs w:val="28"/>
        </w:rPr>
      </w:pPr>
      <w:r>
        <w:rPr>
          <w:rFonts w:hint="eastAsia"/>
        </w:rPr>
        <w:t>支持对科室申请、药房登记、审核、科室接收入账整个药品出库流程进行记录，实现出库闭环操作</w:t>
      </w:r>
    </w:p>
    <w:p w14:paraId="2FB27278">
      <w:pPr>
        <w:pStyle w:val="9"/>
        <w:numPr>
          <w:ilvl w:val="6"/>
          <w:numId w:val="16"/>
        </w:numPr>
      </w:pPr>
      <w:r>
        <w:rPr>
          <w:rFonts w:hint="eastAsia"/>
        </w:rPr>
        <w:t>出库请求</w:t>
      </w:r>
    </w:p>
    <w:p w14:paraId="6EF6C36E">
      <w:pPr>
        <w:pStyle w:val="3"/>
      </w:pPr>
      <w:r>
        <w:rPr>
          <w:rFonts w:hint="eastAsia"/>
        </w:rPr>
        <w:t>系统支持由病区、其他药房根据所在科室药品情况，自主向本药房申请药品，通过药房审核出库方式领取药品。</w:t>
      </w:r>
    </w:p>
    <w:p w14:paraId="1C7C0B2B">
      <w:pPr>
        <w:pStyle w:val="3"/>
      </w:pPr>
      <w:r>
        <w:rPr>
          <w:rFonts w:hint="eastAsia"/>
        </w:rPr>
        <w:t>科室申请后，药房管理人员审核后可以对科室申请药品转成出库单。</w:t>
      </w:r>
    </w:p>
    <w:p w14:paraId="4964A77F">
      <w:pPr>
        <w:pStyle w:val="9"/>
        <w:numPr>
          <w:ilvl w:val="6"/>
          <w:numId w:val="16"/>
        </w:numPr>
      </w:pPr>
      <w:r>
        <w:rPr>
          <w:rFonts w:hint="eastAsia"/>
        </w:rPr>
        <w:t>新开单据</w:t>
      </w:r>
    </w:p>
    <w:p w14:paraId="368CE19B">
      <w:pPr>
        <w:pStyle w:val="3"/>
      </w:pPr>
      <w:r>
        <w:rPr>
          <w:rFonts w:hint="eastAsia"/>
        </w:rPr>
        <w:t>根据支持不同出库单登记方式：科室申请审核后转成出库单、药房手动填写出库单、入库单转成出库单，能够适配不同的医院场景需求。</w:t>
      </w:r>
    </w:p>
    <w:p w14:paraId="0B58D93F">
      <w:pPr>
        <w:pStyle w:val="3"/>
      </w:pPr>
      <w:r>
        <w:rPr>
          <w:rFonts w:hint="eastAsia"/>
        </w:rPr>
        <w:t>1.手动开单</w:t>
      </w:r>
    </w:p>
    <w:p w14:paraId="08BD5E18">
      <w:pPr>
        <w:pStyle w:val="3"/>
      </w:pPr>
      <w:r>
        <w:rPr>
          <w:rFonts w:hint="eastAsia"/>
        </w:rPr>
        <w:t>出库单支持配置不同的类型，例如领用出库、报损出库、退货出库等，登记过程需要补充完善数量等信息，登记完成后由审核人员进行审核。</w:t>
      </w:r>
    </w:p>
    <w:p w14:paraId="3B308375">
      <w:pPr>
        <w:pStyle w:val="3"/>
      </w:pPr>
      <w:r>
        <w:rPr>
          <w:rFonts w:hint="eastAsia"/>
        </w:rPr>
        <w:t>2</w:t>
      </w:r>
      <w:r>
        <w:t>.</w:t>
      </w:r>
      <w:r>
        <w:rPr>
          <w:rFonts w:hint="eastAsia"/>
        </w:rPr>
        <w:t>其他药房/科室请领开单</w:t>
      </w:r>
    </w:p>
    <w:p w14:paraId="1F28BE27">
      <w:pPr>
        <w:pStyle w:val="3"/>
      </w:pPr>
      <w:r>
        <w:rPr>
          <w:rFonts w:hint="eastAsia"/>
        </w:rPr>
        <w:t>科室发起请领后，药房审核后转成出库单</w:t>
      </w:r>
    </w:p>
    <w:p w14:paraId="44D7523B">
      <w:pPr>
        <w:pStyle w:val="3"/>
      </w:pPr>
      <w:r>
        <w:rPr>
          <w:rFonts w:hint="eastAsia"/>
        </w:rPr>
        <w:t>3</w:t>
      </w:r>
      <w:r>
        <w:t>.</w:t>
      </w:r>
      <w:r>
        <w:rPr>
          <w:rFonts w:hint="eastAsia"/>
        </w:rPr>
        <w:t>入库单转出库单</w:t>
      </w:r>
    </w:p>
    <w:p w14:paraId="00A4FF3C">
      <w:pPr>
        <w:pStyle w:val="3"/>
      </w:pPr>
      <w:r>
        <w:rPr>
          <w:rFonts w:hint="eastAsia"/>
        </w:rPr>
        <w:t>入库的单据支持转成出库单</w:t>
      </w:r>
    </w:p>
    <w:p w14:paraId="3570B715">
      <w:pPr>
        <w:pStyle w:val="9"/>
        <w:numPr>
          <w:ilvl w:val="6"/>
          <w:numId w:val="16"/>
        </w:numPr>
      </w:pPr>
      <w:r>
        <w:rPr>
          <w:rFonts w:hint="eastAsia"/>
        </w:rPr>
        <w:t>单据审核</w:t>
      </w:r>
    </w:p>
    <w:p w14:paraId="56EB700A">
      <w:pPr>
        <w:pStyle w:val="3"/>
      </w:pPr>
      <w:r>
        <w:rPr>
          <w:rFonts w:hint="eastAsia"/>
        </w:rPr>
        <w:t>系统支持对登记后的出库单据进行审核操作，并记录闭环中需要的节点信息，包括时间，审核人等</w:t>
      </w:r>
    </w:p>
    <w:p w14:paraId="4CEC9383">
      <w:pPr>
        <w:pStyle w:val="9"/>
        <w:numPr>
          <w:ilvl w:val="6"/>
          <w:numId w:val="16"/>
        </w:numPr>
      </w:pPr>
      <w:r>
        <w:rPr>
          <w:rFonts w:hint="eastAsia"/>
        </w:rPr>
        <w:t>单据入账</w:t>
      </w:r>
    </w:p>
    <w:p w14:paraId="0D40D878">
      <w:pPr>
        <w:pStyle w:val="3"/>
      </w:pPr>
      <w:r>
        <w:rPr>
          <w:rFonts w:hint="eastAsia"/>
        </w:rPr>
        <w:t>当科室接收到药品后，系统支持收货科室打印药品单据，核对药品并接收入账，完成整个药品出库过程，实现药品闭环管理。</w:t>
      </w:r>
    </w:p>
    <w:p w14:paraId="07F8C409">
      <w:pPr>
        <w:pStyle w:val="3"/>
      </w:pPr>
      <w:r>
        <w:rPr>
          <w:rFonts w:hint="eastAsia"/>
        </w:rPr>
        <w:t>系统支持查询历史出库单据信息，单据记录药出库过程完整的闭环信息，方便药房对药品追溯管理。</w:t>
      </w:r>
    </w:p>
    <w:p w14:paraId="35DDA369">
      <w:pPr>
        <w:pStyle w:val="8"/>
        <w:numPr>
          <w:ilvl w:val="5"/>
          <w:numId w:val="16"/>
        </w:numPr>
      </w:pPr>
      <w:r>
        <w:rPr>
          <w:rFonts w:hint="eastAsia"/>
        </w:rPr>
        <w:t>库存管理</w:t>
      </w:r>
    </w:p>
    <w:p w14:paraId="1577EAF9">
      <w:pPr>
        <w:pStyle w:val="9"/>
        <w:numPr>
          <w:ilvl w:val="6"/>
          <w:numId w:val="16"/>
        </w:numPr>
      </w:pPr>
      <w:r>
        <w:rPr>
          <w:rFonts w:hint="eastAsia"/>
        </w:rPr>
        <w:t>库存查询</w:t>
      </w:r>
    </w:p>
    <w:p w14:paraId="04C42AB9">
      <w:pPr>
        <w:pStyle w:val="3"/>
      </w:pPr>
      <w:r>
        <w:rPr>
          <w:rFonts w:hint="eastAsia"/>
        </w:rPr>
        <w:t>系统支持查询药房中现有的药品，并对不同状态药品进行区分标识，包括正常药品、快过期药品，已经过期药品，方便药库对于药品管理。</w:t>
      </w:r>
    </w:p>
    <w:p w14:paraId="25298170">
      <w:pPr>
        <w:pStyle w:val="3"/>
      </w:pPr>
      <w:r>
        <w:rPr>
          <w:rFonts w:hint="eastAsia"/>
        </w:rPr>
        <w:t>另外药房系统还支持对药品可用状态进行管理，例如对于一些药品临时停用失效，对已占用库存的药品释放库存，并支持修改药品批次、失效日期等信息。</w:t>
      </w:r>
    </w:p>
    <w:p w14:paraId="1E01746E">
      <w:pPr>
        <w:pStyle w:val="9"/>
        <w:numPr>
          <w:ilvl w:val="6"/>
          <w:numId w:val="16"/>
        </w:numPr>
      </w:pPr>
      <w:r>
        <w:rPr>
          <w:rFonts w:hint="eastAsia"/>
        </w:rPr>
        <w:t>账页查询</w:t>
      </w:r>
    </w:p>
    <w:p w14:paraId="7522CBF3">
      <w:pPr>
        <w:pStyle w:val="3"/>
      </w:pPr>
      <w:r>
        <w:rPr>
          <w:rFonts w:hint="eastAsia"/>
        </w:rPr>
        <w:t>药房需要监控药品出入库情况，系统支持记录每一条出入库信息，并通过账页查询能够查询到相应的内容，保证对药品出入库情况有完整的记录和管理</w:t>
      </w:r>
    </w:p>
    <w:p w14:paraId="10C17818">
      <w:pPr>
        <w:pStyle w:val="9"/>
        <w:numPr>
          <w:ilvl w:val="6"/>
          <w:numId w:val="16"/>
        </w:numPr>
      </w:pPr>
      <w:r>
        <w:rPr>
          <w:rFonts w:hint="eastAsia"/>
        </w:rPr>
        <w:t>库存限量与预警</w:t>
      </w:r>
    </w:p>
    <w:p w14:paraId="77D32E65">
      <w:pPr>
        <w:pStyle w:val="3"/>
      </w:pPr>
      <w:r>
        <w:rPr>
          <w:rFonts w:hint="eastAsia"/>
        </w:rPr>
        <w:t>系统支持对药品库存进行限量，设置某项药品的限量库存，当库存低于或者高于设置的限量库存时候，可以快速查询。</w:t>
      </w:r>
    </w:p>
    <w:p w14:paraId="11131C49">
      <w:pPr>
        <w:pStyle w:val="3"/>
      </w:pPr>
      <w:r>
        <w:rPr>
          <w:rFonts w:hint="eastAsia"/>
        </w:rPr>
        <w:t>除库存限量预警外，系统也支持通过消耗量等进行快速查询筛选出相应的药品，并对库存不足的预警药品快速生成采购计划。通过库存预警，药库可以快速了解到库存不足的药品并进行采购。</w:t>
      </w:r>
    </w:p>
    <w:p w14:paraId="361E0140">
      <w:pPr>
        <w:pStyle w:val="8"/>
        <w:numPr>
          <w:ilvl w:val="5"/>
          <w:numId w:val="16"/>
        </w:numPr>
      </w:pPr>
      <w:r>
        <w:rPr>
          <w:rFonts w:hint="eastAsia"/>
        </w:rPr>
        <w:t>盘点结存</w:t>
      </w:r>
    </w:p>
    <w:p w14:paraId="07B74165">
      <w:pPr>
        <w:pStyle w:val="3"/>
      </w:pPr>
      <w:r>
        <w:rPr>
          <w:rFonts w:hint="eastAsia"/>
        </w:rPr>
        <w:t>系统支持药房定期或者临时对药品实际数量进行清查盘点，并对盘点实际药品数量与库存记录核对冲正，更新实际库存数量。内容包括盘点录入、冲正、查询等功能</w:t>
      </w:r>
    </w:p>
    <w:p w14:paraId="681BAB97">
      <w:pPr>
        <w:pStyle w:val="9"/>
        <w:numPr>
          <w:ilvl w:val="6"/>
          <w:numId w:val="16"/>
        </w:numPr>
      </w:pPr>
      <w:r>
        <w:rPr>
          <w:rFonts w:hint="eastAsia"/>
        </w:rPr>
        <w:t>生成盘点单</w:t>
      </w:r>
    </w:p>
    <w:p w14:paraId="065A378D">
      <w:pPr>
        <w:pStyle w:val="3"/>
      </w:pPr>
      <w:r>
        <w:rPr>
          <w:rFonts w:hint="eastAsia"/>
        </w:rPr>
        <w:t>系统支持盘点人员手动建立盘点单，盘点单可以通过多种维度建立，例如根据药品种类、批次、价格、毒理、材质、金额等条件，能够适配医院不同的使用习惯和管理要求。</w:t>
      </w:r>
    </w:p>
    <w:p w14:paraId="4D0D490F">
      <w:pPr>
        <w:pStyle w:val="9"/>
        <w:numPr>
          <w:ilvl w:val="6"/>
          <w:numId w:val="16"/>
        </w:numPr>
      </w:pPr>
      <w:r>
        <w:rPr>
          <w:rFonts w:hint="eastAsia"/>
        </w:rPr>
        <w:t>盘点录入</w:t>
      </w:r>
    </w:p>
    <w:p w14:paraId="457B61EE">
      <w:pPr>
        <w:pStyle w:val="3"/>
      </w:pPr>
      <w:r>
        <w:rPr>
          <w:rFonts w:hint="eastAsia"/>
        </w:rPr>
        <w:t>医院盘点可能是由多人进行操作，系统盘点单也支持多人盘点，并记录盘点人员信息，在盘点过程中，也能够灵活添加删除盘点药品。</w:t>
      </w:r>
    </w:p>
    <w:p w14:paraId="6D54319D">
      <w:pPr>
        <w:pStyle w:val="3"/>
      </w:pPr>
      <w:r>
        <w:rPr>
          <w:rFonts w:hint="eastAsia"/>
        </w:rPr>
        <w:t>部分医院盘点过程中，可能会有出入库业务，系统也支持盘点过程中不停止业务，盘点期间可以操作出入库，出入库药品进行记录，盘点完成前进行补盘。</w:t>
      </w:r>
    </w:p>
    <w:p w14:paraId="0BD954C2">
      <w:pPr>
        <w:pStyle w:val="3"/>
      </w:pPr>
      <w:r>
        <w:rPr>
          <w:rFonts w:hint="eastAsia"/>
        </w:rPr>
        <w:t>另外系统也满足盘点数量快速录入，例如盘点数量等于库存，盘点数量为0等人性化操作，提高盘点人员填写效率。并支持盘点数量复核修改，保证盘点数量与实际数量保持一致。</w:t>
      </w:r>
    </w:p>
    <w:p w14:paraId="13627BB5">
      <w:pPr>
        <w:pStyle w:val="9"/>
        <w:numPr>
          <w:ilvl w:val="6"/>
          <w:numId w:val="16"/>
        </w:numPr>
      </w:pPr>
      <w:r>
        <w:rPr>
          <w:rFonts w:hint="eastAsia"/>
        </w:rPr>
        <w:t>盘点冲正</w:t>
      </w:r>
    </w:p>
    <w:p w14:paraId="53D6BBDA">
      <w:pPr>
        <w:pStyle w:val="3"/>
      </w:pPr>
      <w:r>
        <w:rPr>
          <w:rFonts w:hint="eastAsia"/>
        </w:rPr>
        <w:t>盘点录入后，盘点冲正页面数据实时更新，管理员可查看盘点数量与库存记录差异，管理员可操作冲正将盘点数量更新为系统库存数量，形成完整盘点闭环。如果盘点数量有问题，系统也支持回退重新盘点。</w:t>
      </w:r>
    </w:p>
    <w:p w14:paraId="22FE867E">
      <w:pPr>
        <w:pStyle w:val="9"/>
        <w:numPr>
          <w:ilvl w:val="6"/>
          <w:numId w:val="16"/>
        </w:numPr>
      </w:pPr>
      <w:r>
        <w:rPr>
          <w:rFonts w:hint="eastAsia"/>
        </w:rPr>
        <w:t>盘点查询</w:t>
      </w:r>
    </w:p>
    <w:p w14:paraId="377EF74A">
      <w:pPr>
        <w:pStyle w:val="3"/>
      </w:pPr>
      <w:r>
        <w:rPr>
          <w:rFonts w:hint="eastAsia"/>
        </w:rPr>
        <w:t>系统会记录每一次盘点信息，支持查询并进行溯源管理。</w:t>
      </w:r>
    </w:p>
    <w:p w14:paraId="7F1040E2">
      <w:pPr>
        <w:pStyle w:val="9"/>
        <w:numPr>
          <w:ilvl w:val="6"/>
          <w:numId w:val="16"/>
        </w:numPr>
      </w:pPr>
      <w:r>
        <w:rPr>
          <w:rFonts w:hint="eastAsia"/>
        </w:rPr>
        <w:t>盘点事件管理</w:t>
      </w:r>
    </w:p>
    <w:p w14:paraId="5B183A54">
      <w:pPr>
        <w:pStyle w:val="3"/>
      </w:pPr>
      <w:r>
        <w:rPr>
          <w:rFonts w:hint="eastAsia"/>
        </w:rPr>
        <w:t>系统支持对已冲正的盘点单进行管理，可对盘点单进行分类管理，方便后续查阅</w:t>
      </w:r>
    </w:p>
    <w:p w14:paraId="644138F4">
      <w:pPr>
        <w:pStyle w:val="9"/>
        <w:numPr>
          <w:ilvl w:val="6"/>
          <w:numId w:val="16"/>
        </w:numPr>
      </w:pPr>
      <w:r>
        <w:rPr>
          <w:rFonts w:hint="eastAsia"/>
        </w:rPr>
        <w:t>药品结存</w:t>
      </w:r>
    </w:p>
    <w:p w14:paraId="6FCD2DD1">
      <w:pPr>
        <w:pStyle w:val="3"/>
      </w:pPr>
      <w:r>
        <w:rPr>
          <w:rFonts w:hint="eastAsia"/>
        </w:rPr>
        <w:t>系统支持对药房入库和出库的单据进行结存，通过结存，支持查看时间范围内进出仓报表、结存汇总表、盈亏明细等相关数据，方便医院进行管理。</w:t>
      </w:r>
    </w:p>
    <w:p w14:paraId="00DD6770">
      <w:pPr>
        <w:pStyle w:val="8"/>
        <w:numPr>
          <w:ilvl w:val="5"/>
          <w:numId w:val="16"/>
        </w:numPr>
      </w:pPr>
      <w:r>
        <w:rPr>
          <w:rFonts w:hint="eastAsia"/>
        </w:rPr>
        <w:t>科室事务</w:t>
      </w:r>
    </w:p>
    <w:p w14:paraId="397A93D3">
      <w:pPr>
        <w:pStyle w:val="9"/>
        <w:numPr>
          <w:ilvl w:val="6"/>
          <w:numId w:val="16"/>
        </w:numPr>
      </w:pPr>
      <w:r>
        <w:rPr>
          <w:rFonts w:hint="eastAsia"/>
        </w:rPr>
        <w:t>科室药品管理</w:t>
      </w:r>
    </w:p>
    <w:p w14:paraId="7415A7D4">
      <w:pPr>
        <w:pStyle w:val="3"/>
      </w:pPr>
      <w:r>
        <w:rPr>
          <w:rFonts w:hint="eastAsia"/>
        </w:rPr>
        <w:t>系统支持药房通过药品申请，并通过药房内部审核后，向药库请领药品。</w:t>
      </w:r>
    </w:p>
    <w:p w14:paraId="01C0768D">
      <w:pPr>
        <w:pStyle w:val="9"/>
        <w:numPr>
          <w:ilvl w:val="6"/>
          <w:numId w:val="16"/>
        </w:numPr>
      </w:pPr>
      <w:r>
        <w:rPr>
          <w:rFonts w:hint="eastAsia"/>
        </w:rPr>
        <w:t>麻醉药品台账</w:t>
      </w:r>
    </w:p>
    <w:p w14:paraId="264B5692">
      <w:pPr>
        <w:pStyle w:val="3"/>
      </w:pPr>
      <w:r>
        <w:rPr>
          <w:rFonts w:hint="eastAsia"/>
        </w:rPr>
        <w:t>医院对麻醉药品管理有特殊要求，系统全方位记录麻醉药品使用能过程，麻醉药品出库时，记录人员、时间、数量等信息，使用过程中记录患者、诊断等信息，对麻醉药品使用闭环监控。</w:t>
      </w:r>
    </w:p>
    <w:p w14:paraId="41923B9C">
      <w:pPr>
        <w:pStyle w:val="8"/>
        <w:numPr>
          <w:ilvl w:val="5"/>
          <w:numId w:val="16"/>
        </w:numPr>
      </w:pPr>
      <w:r>
        <w:rPr>
          <w:rFonts w:hint="eastAsia"/>
        </w:rPr>
        <w:t>字典维护</w:t>
      </w:r>
    </w:p>
    <w:p w14:paraId="56109DEE">
      <w:pPr>
        <w:pStyle w:val="9"/>
        <w:numPr>
          <w:ilvl w:val="6"/>
          <w:numId w:val="16"/>
        </w:numPr>
      </w:pPr>
      <w:r>
        <w:rPr>
          <w:rFonts w:hint="eastAsia"/>
        </w:rPr>
        <w:t>药品货柜维护</w:t>
      </w:r>
    </w:p>
    <w:p w14:paraId="3D04B639">
      <w:pPr>
        <w:pStyle w:val="3"/>
      </w:pPr>
      <w:r>
        <w:rPr>
          <w:rFonts w:hint="eastAsia"/>
        </w:rPr>
        <w:t>通过维护药品货柜号信息，便于后续出入库快速查找定位药品位置。</w:t>
      </w:r>
    </w:p>
    <w:p w14:paraId="287C9D27">
      <w:pPr>
        <w:pStyle w:val="3"/>
        <w:rPr>
          <w:rFonts w:asciiTheme="minorEastAsia" w:hAnsiTheme="minorEastAsia" w:eastAsiaTheme="minorEastAsia"/>
        </w:rPr>
      </w:pPr>
    </w:p>
    <w:p w14:paraId="1C9F0FB1">
      <w:pPr>
        <w:pStyle w:val="3"/>
        <w:rPr>
          <w:rFonts w:asciiTheme="minorEastAsia" w:hAnsiTheme="minorEastAsia" w:eastAsiaTheme="minorEastAsia"/>
        </w:rPr>
      </w:pPr>
    </w:p>
    <w:p w14:paraId="1A9D816E">
      <w:pPr>
        <w:pStyle w:val="6"/>
        <w:numPr>
          <w:ilvl w:val="3"/>
          <w:numId w:val="16"/>
        </w:numPr>
      </w:pPr>
      <w:bookmarkStart w:id="489" w:name="_Toc147920860"/>
      <w:bookmarkStart w:id="490" w:name="_Toc198048596"/>
      <w:r>
        <w:rPr>
          <w:rFonts w:hint="eastAsia"/>
        </w:rPr>
        <w:t>医疗管理</w:t>
      </w:r>
      <w:bookmarkEnd w:id="489"/>
      <w:bookmarkEnd w:id="490"/>
    </w:p>
    <w:p w14:paraId="5CAB13D5">
      <w:pPr>
        <w:pStyle w:val="7"/>
        <w:numPr>
          <w:ilvl w:val="4"/>
          <w:numId w:val="16"/>
        </w:numPr>
      </w:pPr>
      <w:bookmarkStart w:id="491" w:name="_Toc147920861"/>
      <w:bookmarkStart w:id="492" w:name="_Toc112663889"/>
      <w:bookmarkStart w:id="493" w:name="_Toc37941106"/>
      <w:r>
        <w:rPr>
          <w:rFonts w:hint="eastAsia"/>
        </w:rPr>
        <w:t>医保对账管理系统</w:t>
      </w:r>
      <w:bookmarkEnd w:id="491"/>
      <w:bookmarkEnd w:id="492"/>
    </w:p>
    <w:p w14:paraId="62FF7AF3">
      <w:pPr>
        <w:pStyle w:val="3"/>
      </w:pPr>
      <w:r>
        <w:rPr>
          <w:rFonts w:hint="eastAsia"/>
        </w:rPr>
        <w:t>为医院端提供医保控费管理，能辅助医院做好医保费用的合理管控，为医院医疗运营管理提供决策支持。</w:t>
      </w:r>
    </w:p>
    <w:p w14:paraId="6E19F9D0">
      <w:pPr>
        <w:pStyle w:val="3"/>
      </w:pPr>
      <w:r>
        <w:rPr>
          <w:rFonts w:hint="eastAsia" w:asciiTheme="minorEastAsia" w:hAnsiTheme="minorEastAsia" w:eastAsiaTheme="minorEastAsia"/>
        </w:rPr>
        <w:t>具备支持以下功能：</w:t>
      </w:r>
      <w:r>
        <w:rPr>
          <w:rFonts w:hint="eastAsia"/>
        </w:rPr>
        <w:t>：医保下载管理、医保对照管理、医保特殊病种管理、医保审批管理、医保门诊交易、医保住院交易、医保日志管理、医保对账报表。</w:t>
      </w:r>
    </w:p>
    <w:bookmarkEnd w:id="493"/>
    <w:p w14:paraId="24257700">
      <w:pPr>
        <w:pStyle w:val="7"/>
        <w:numPr>
          <w:ilvl w:val="4"/>
          <w:numId w:val="16"/>
        </w:numPr>
      </w:pPr>
      <w:bookmarkStart w:id="494" w:name="_Toc147920862"/>
      <w:bookmarkStart w:id="495" w:name="_Toc37941108"/>
      <w:r>
        <w:rPr>
          <w:rFonts w:hint="eastAsia"/>
        </w:rPr>
        <w:t>临床路径管理系统</w:t>
      </w:r>
      <w:bookmarkEnd w:id="494"/>
      <w:bookmarkEnd w:id="495"/>
    </w:p>
    <w:p w14:paraId="37B18EA2">
      <w:pPr>
        <w:pStyle w:val="3"/>
      </w:pPr>
      <w:r>
        <w:rPr>
          <w:rFonts w:hint="eastAsia"/>
        </w:rPr>
        <w:t>按照《临床路径管理指导原则(试行)》，实现疾病规范化的医疗服务。</w:t>
      </w:r>
    </w:p>
    <w:p w14:paraId="1326E58D">
      <w:pPr>
        <w:pStyle w:val="3"/>
      </w:pPr>
      <w:r>
        <w:rPr>
          <w:rFonts w:hint="eastAsia" w:asciiTheme="minorEastAsia" w:hAnsiTheme="minorEastAsia" w:eastAsiaTheme="minorEastAsia"/>
        </w:rPr>
        <w:t>具备支持以下功能：</w:t>
      </w:r>
      <w:r>
        <w:rPr>
          <w:rFonts w:hint="eastAsia"/>
        </w:rPr>
        <w:t>：病种定义、路径医嘱方案维护、医嘱方案管理、进入路径规则管理、路径执行管理、路径变异规则管理、退出路径规则管理、查询统计。</w:t>
      </w:r>
    </w:p>
    <w:p w14:paraId="18247289">
      <w:pPr>
        <w:pStyle w:val="7"/>
        <w:numPr>
          <w:ilvl w:val="4"/>
          <w:numId w:val="16"/>
        </w:numPr>
      </w:pPr>
      <w:bookmarkStart w:id="496" w:name="_Toc147920863"/>
      <w:r>
        <w:rPr>
          <w:rFonts w:hint="eastAsia"/>
        </w:rPr>
        <w:t>手术分级管理系统</w:t>
      </w:r>
      <w:bookmarkEnd w:id="496"/>
    </w:p>
    <w:p w14:paraId="65688F48">
      <w:pPr>
        <w:pStyle w:val="3"/>
      </w:pPr>
      <w:r>
        <w:rPr>
          <w:rFonts w:hint="eastAsia"/>
        </w:rPr>
        <w:t>以手术分级目录为基础，为具有不同专业技术职务任职资格的手术医生授予相应的手术权限，在手术申请流程中实现分级审批，保障手术安全进行。</w:t>
      </w:r>
    </w:p>
    <w:p w14:paraId="4958DD1D">
      <w:pPr>
        <w:pStyle w:val="3"/>
      </w:pPr>
      <w:r>
        <w:rPr>
          <w:rFonts w:hint="eastAsia" w:asciiTheme="minorEastAsia" w:hAnsiTheme="minorEastAsia" w:eastAsiaTheme="minorEastAsia"/>
        </w:rPr>
        <w:t>具备支持以下功能：</w:t>
      </w:r>
      <w:r>
        <w:rPr>
          <w:rFonts w:hint="eastAsia"/>
        </w:rPr>
        <w:t>：手术等级设置、手术分级授权、手术级别管理、分级审批管理等。</w:t>
      </w:r>
    </w:p>
    <w:p w14:paraId="7A623DAE">
      <w:pPr>
        <w:pStyle w:val="7"/>
        <w:numPr>
          <w:ilvl w:val="4"/>
          <w:numId w:val="16"/>
        </w:numPr>
      </w:pPr>
      <w:bookmarkStart w:id="497" w:name="_Toc147920864"/>
      <w:r>
        <w:rPr>
          <w:rFonts w:hint="eastAsia"/>
        </w:rPr>
        <w:t>抗生素分级管理系统</w:t>
      </w:r>
      <w:bookmarkEnd w:id="497"/>
    </w:p>
    <w:p w14:paraId="4243C2F1">
      <w:pPr>
        <w:pStyle w:val="3"/>
      </w:pPr>
      <w:r>
        <w:rPr>
          <w:rFonts w:hint="eastAsia"/>
        </w:rPr>
        <w:t>对抗菌药物实现分级管控权限设置，监控抗菌药物在临床的使用情况，进行抗菌药物使用的全程干预、警示、评估和点评。</w:t>
      </w:r>
    </w:p>
    <w:p w14:paraId="0E805181">
      <w:pPr>
        <w:pStyle w:val="3"/>
      </w:pPr>
      <w:r>
        <w:rPr>
          <w:rFonts w:hint="eastAsia" w:asciiTheme="minorEastAsia" w:hAnsiTheme="minorEastAsia" w:eastAsiaTheme="minorEastAsia"/>
        </w:rPr>
        <w:t>具备支持以下功能：</w:t>
      </w:r>
      <w:r>
        <w:rPr>
          <w:rFonts w:hint="eastAsia"/>
        </w:rPr>
        <w:t>：抗菌药物管理、抗菌药物分级授权、抗菌药申请填写、抗菌药用药审批。</w:t>
      </w:r>
    </w:p>
    <w:p w14:paraId="56370A78">
      <w:pPr>
        <w:pStyle w:val="6"/>
        <w:numPr>
          <w:ilvl w:val="3"/>
          <w:numId w:val="16"/>
        </w:numPr>
      </w:pPr>
      <w:bookmarkStart w:id="498" w:name="_Toc147920892"/>
      <w:bookmarkStart w:id="499" w:name="_Toc198048597"/>
      <w:bookmarkStart w:id="500" w:name="_Toc198048600"/>
      <w:r>
        <w:rPr>
          <w:rFonts w:hint="eastAsia"/>
        </w:rPr>
        <w:t>实施配置</w:t>
      </w:r>
      <w:bookmarkEnd w:id="498"/>
      <w:bookmarkEnd w:id="499"/>
    </w:p>
    <w:p w14:paraId="49837C4D">
      <w:pPr>
        <w:pStyle w:val="7"/>
        <w:numPr>
          <w:ilvl w:val="4"/>
          <w:numId w:val="16"/>
        </w:numPr>
      </w:pPr>
      <w:bookmarkStart w:id="501" w:name="_Toc147920893"/>
      <w:r>
        <w:rPr>
          <w:rFonts w:hint="eastAsia"/>
        </w:rPr>
        <w:t>物价管理系统</w:t>
      </w:r>
      <w:bookmarkEnd w:id="501"/>
    </w:p>
    <w:p w14:paraId="489146FC">
      <w:pPr>
        <w:pStyle w:val="3"/>
      </w:pPr>
      <w:r>
        <w:rPr>
          <w:rFonts w:hint="eastAsia" w:asciiTheme="minorEastAsia" w:hAnsiTheme="minorEastAsia" w:eastAsiaTheme="minorEastAsia"/>
        </w:rPr>
        <w:t>具备支持以下功能：</w:t>
      </w:r>
    </w:p>
    <w:p w14:paraId="74A6123E">
      <w:pPr>
        <w:pStyle w:val="8"/>
        <w:numPr>
          <w:ilvl w:val="5"/>
          <w:numId w:val="16"/>
        </w:numPr>
      </w:pPr>
      <w:r>
        <w:rPr>
          <w:rFonts w:hint="eastAsia"/>
        </w:rPr>
        <w:t>价表管理</w:t>
      </w:r>
    </w:p>
    <w:p w14:paraId="3C546B65">
      <w:pPr>
        <w:pStyle w:val="9"/>
        <w:numPr>
          <w:ilvl w:val="6"/>
          <w:numId w:val="16"/>
        </w:numPr>
      </w:pPr>
      <w:r>
        <w:rPr>
          <w:rFonts w:hint="eastAsia"/>
        </w:rPr>
        <w:t>价表字典</w:t>
      </w:r>
    </w:p>
    <w:p w14:paraId="58AEB8AA">
      <w:pPr>
        <w:pStyle w:val="3"/>
      </w:pPr>
      <w:r>
        <w:rPr>
          <w:rFonts w:hint="eastAsia"/>
        </w:rPr>
        <w:t>支持对非药品类，包括检查检验、手术、麻醉、耗材等项目进行价项管理，管理内容包括价项名称、价格、相关发票类别、医保对照代码等。</w:t>
      </w:r>
    </w:p>
    <w:p w14:paraId="4B147259">
      <w:pPr>
        <w:pStyle w:val="9"/>
        <w:numPr>
          <w:ilvl w:val="6"/>
          <w:numId w:val="16"/>
        </w:numPr>
      </w:pPr>
      <w:r>
        <w:rPr>
          <w:rFonts w:hint="eastAsia"/>
        </w:rPr>
        <w:t>药品价格管理</w:t>
      </w:r>
    </w:p>
    <w:p w14:paraId="409B8BBC">
      <w:pPr>
        <w:pStyle w:val="3"/>
      </w:pPr>
      <w:r>
        <w:rPr>
          <w:rFonts w:hint="eastAsia"/>
        </w:rPr>
        <w:t>支持根据物价部门现行的调价文件实现全院统一调价，调整药品的进货价、零售价等信息，药品调价支持以下几种方式：</w:t>
      </w:r>
    </w:p>
    <w:p w14:paraId="33346686">
      <w:pPr>
        <w:pStyle w:val="3"/>
      </w:pPr>
      <w:r>
        <w:rPr>
          <w:rFonts w:hint="eastAsia"/>
        </w:rPr>
        <w:t>1</w:t>
      </w:r>
      <w:r>
        <w:t>.</w:t>
      </w:r>
      <w:r>
        <w:rPr>
          <w:rFonts w:hint="eastAsia"/>
        </w:rPr>
        <w:t>支持在库药品使用原价格，新入库药品使用新的价格。</w:t>
      </w:r>
    </w:p>
    <w:p w14:paraId="2A86E6D0">
      <w:pPr>
        <w:pStyle w:val="3"/>
      </w:pPr>
      <w:r>
        <w:rPr>
          <w:rFonts w:hint="eastAsia"/>
        </w:rPr>
        <w:t>2</w:t>
      </w:r>
      <w:r>
        <w:t>.</w:t>
      </w:r>
      <w:r>
        <w:rPr>
          <w:rFonts w:hint="eastAsia"/>
        </w:rPr>
        <w:t>支持在库药品可根据统一更新为新价格，也支持只更新指定批次的药品价格</w:t>
      </w:r>
    </w:p>
    <w:p w14:paraId="567DEB3A">
      <w:pPr>
        <w:pStyle w:val="3"/>
      </w:pPr>
      <w:r>
        <w:rPr>
          <w:rFonts w:hint="eastAsia"/>
        </w:rPr>
        <w:t>3</w:t>
      </w:r>
      <w:r>
        <w:t>.</w:t>
      </w:r>
      <w:r>
        <w:rPr>
          <w:rFonts w:hint="eastAsia"/>
        </w:rPr>
        <w:t>支持批量执行药品调价操作。</w:t>
      </w:r>
    </w:p>
    <w:p w14:paraId="7016B720">
      <w:pPr>
        <w:pStyle w:val="3"/>
      </w:pPr>
      <w:r>
        <w:rPr>
          <w:rFonts w:hint="eastAsia"/>
        </w:rPr>
        <w:t>4</w:t>
      </w:r>
      <w:r>
        <w:t>.</w:t>
      </w:r>
      <w:r>
        <w:rPr>
          <w:rFonts w:hint="eastAsia"/>
        </w:rPr>
        <w:t>支持药品调价审核，必须审核通过后才可进行调价，否则不允许。</w:t>
      </w:r>
    </w:p>
    <w:p w14:paraId="24F59F44">
      <w:pPr>
        <w:pStyle w:val="3"/>
      </w:pPr>
      <w:r>
        <w:rPr>
          <w:rFonts w:hint="eastAsia"/>
        </w:rPr>
        <w:t>5</w:t>
      </w:r>
      <w:r>
        <w:t>.</w:t>
      </w:r>
      <w:r>
        <w:rPr>
          <w:rFonts w:hint="eastAsia"/>
        </w:rPr>
        <w:t>支持记录调剂信息过程日志，确保调整价格可溯源。</w:t>
      </w:r>
    </w:p>
    <w:p w14:paraId="4939446E">
      <w:pPr>
        <w:pStyle w:val="9"/>
        <w:numPr>
          <w:ilvl w:val="6"/>
          <w:numId w:val="16"/>
        </w:numPr>
      </w:pPr>
      <w:r>
        <w:rPr>
          <w:rFonts w:hint="eastAsia"/>
        </w:rPr>
        <w:t>价表调价</w:t>
      </w:r>
    </w:p>
    <w:p w14:paraId="7BAD318E">
      <w:pPr>
        <w:pStyle w:val="3"/>
      </w:pPr>
      <w:r>
        <w:rPr>
          <w:rFonts w:hint="eastAsia"/>
        </w:rPr>
        <w:t>支持对非药品类项目进行调价管理，调整对应诊疗价格。调价支持管理部门审核，审核通过后生效新的价项，审核不通过则支持退回再修改。</w:t>
      </w:r>
    </w:p>
    <w:p w14:paraId="637DBF8F">
      <w:pPr>
        <w:pStyle w:val="3"/>
      </w:pPr>
      <w:r>
        <w:rPr>
          <w:rFonts w:hint="eastAsia"/>
        </w:rPr>
        <w:t>支持记录所有调价过程日志，包含申请人、申请时间、审核人、审核时间、审核结果等信息以供查询溯源。</w:t>
      </w:r>
    </w:p>
    <w:p w14:paraId="0C0CDCF2">
      <w:pPr>
        <w:pStyle w:val="8"/>
        <w:numPr>
          <w:ilvl w:val="5"/>
          <w:numId w:val="16"/>
        </w:numPr>
      </w:pPr>
      <w:r>
        <w:rPr>
          <w:rFonts w:hint="eastAsia"/>
        </w:rPr>
        <w:t>诊疗管理</w:t>
      </w:r>
    </w:p>
    <w:p w14:paraId="16025DD4">
      <w:pPr>
        <w:pStyle w:val="9"/>
        <w:numPr>
          <w:ilvl w:val="6"/>
          <w:numId w:val="16"/>
        </w:numPr>
      </w:pPr>
      <w:r>
        <w:rPr>
          <w:rFonts w:hint="eastAsia"/>
        </w:rPr>
        <w:t>诊疗类别维护</w:t>
      </w:r>
    </w:p>
    <w:p w14:paraId="05D4226B">
      <w:pPr>
        <w:pStyle w:val="3"/>
      </w:pPr>
      <w:r>
        <w:rPr>
          <w:rFonts w:hint="eastAsia"/>
        </w:rPr>
        <w:t>支持维护诊疗的科目的类别，包含诊疗科目名称、类型、类别、作用门诊还是住院等信息维护。</w:t>
      </w:r>
    </w:p>
    <w:p w14:paraId="1CEF0BA0">
      <w:pPr>
        <w:pStyle w:val="9"/>
        <w:numPr>
          <w:ilvl w:val="6"/>
          <w:numId w:val="16"/>
        </w:numPr>
      </w:pPr>
      <w:r>
        <w:rPr>
          <w:rFonts w:hint="eastAsia"/>
        </w:rPr>
        <w:t>诊疗字典数据维护</w:t>
      </w:r>
    </w:p>
    <w:p w14:paraId="326EA2BC">
      <w:pPr>
        <w:pStyle w:val="3"/>
      </w:pPr>
      <w:r>
        <w:rPr>
          <w:rFonts w:hint="eastAsia"/>
        </w:rPr>
        <w:t>支持管理诊疗属性以及使用的项目规则，属性包括名称、样本类型、检查部位等基本信息，使用规则包含年龄限制、使用有效期、使用性别、最大使用数等。</w:t>
      </w:r>
    </w:p>
    <w:p w14:paraId="5357CB2C">
      <w:pPr>
        <w:pStyle w:val="9"/>
        <w:numPr>
          <w:ilvl w:val="6"/>
          <w:numId w:val="16"/>
        </w:numPr>
      </w:pPr>
      <w:r>
        <w:rPr>
          <w:rFonts w:hint="eastAsia"/>
        </w:rPr>
        <w:t>诊疗绑定价项维护</w:t>
      </w:r>
    </w:p>
    <w:p w14:paraId="7B9D7DEE">
      <w:pPr>
        <w:pStyle w:val="3"/>
      </w:pPr>
      <w:r>
        <w:rPr>
          <w:rFonts w:hint="eastAsia"/>
        </w:rPr>
        <w:t>系统中诊疗的价格通过绑定维护好的价项进行管理，支持一个诊疗项目可以绑定多个价项，绑定后会在开单中体现价项内容。</w:t>
      </w:r>
    </w:p>
    <w:p w14:paraId="4F67B68C">
      <w:pPr>
        <w:pStyle w:val="9"/>
        <w:numPr>
          <w:ilvl w:val="6"/>
          <w:numId w:val="16"/>
        </w:numPr>
      </w:pPr>
      <w:r>
        <w:rPr>
          <w:rFonts w:hint="eastAsia"/>
        </w:rPr>
        <w:t>诊疗分发管理</w:t>
      </w:r>
    </w:p>
    <w:p w14:paraId="1B2D67D5">
      <w:pPr>
        <w:pStyle w:val="3"/>
      </w:pPr>
      <w:r>
        <w:rPr>
          <w:rFonts w:hint="eastAsia"/>
        </w:rPr>
        <w:t>支持将诊疗分发给对开单科室、执行科室、开单医生，分发后对应的医生在对应科室可以开具或者执行分发的诊疗。</w:t>
      </w:r>
    </w:p>
    <w:p w14:paraId="3584F3C8">
      <w:pPr>
        <w:pStyle w:val="9"/>
        <w:numPr>
          <w:ilvl w:val="6"/>
          <w:numId w:val="16"/>
        </w:numPr>
      </w:pPr>
      <w:r>
        <w:rPr>
          <w:rFonts w:hint="eastAsia"/>
        </w:rPr>
        <w:t>绑定儿童价项管理</w:t>
      </w:r>
    </w:p>
    <w:p w14:paraId="667FABE4">
      <w:pPr>
        <w:pStyle w:val="3"/>
      </w:pPr>
      <w:r>
        <w:rPr>
          <w:rFonts w:hint="eastAsia"/>
        </w:rPr>
        <w:t>由于儿童部分诊疗项目与青少年、成人不同，支持将诊疗绑定儿童价项，绑定后6岁以下儿童开该诊疗时，展示绑定儿童价项内容和价格。</w:t>
      </w:r>
    </w:p>
    <w:p w14:paraId="7A75945C">
      <w:pPr>
        <w:pStyle w:val="9"/>
        <w:numPr>
          <w:ilvl w:val="6"/>
          <w:numId w:val="16"/>
        </w:numPr>
      </w:pPr>
      <w:r>
        <w:rPr>
          <w:rFonts w:hint="eastAsia"/>
        </w:rPr>
        <w:t>绑定药品附加项管理</w:t>
      </w:r>
    </w:p>
    <w:p w14:paraId="04D9B62E">
      <w:pPr>
        <w:pStyle w:val="3"/>
      </w:pPr>
      <w:r>
        <w:rPr>
          <w:rFonts w:hint="eastAsia"/>
        </w:rPr>
        <w:t>系统支持诊疗绑定额外药品附加项，例如检查需要造影剂等药品，绑定后在门诊医生开该诊疗项目时会自动带出绑定药品，无需医生再另外开药品，并在扣费结算过程中，药品和诊疗项目也会同时扣费和结算。</w:t>
      </w:r>
    </w:p>
    <w:p w14:paraId="0B825F65">
      <w:pPr>
        <w:pStyle w:val="8"/>
        <w:numPr>
          <w:ilvl w:val="5"/>
          <w:numId w:val="16"/>
        </w:numPr>
      </w:pPr>
      <w:r>
        <w:rPr>
          <w:rFonts w:hint="eastAsia"/>
        </w:rPr>
        <w:t>医保项目维护</w:t>
      </w:r>
    </w:p>
    <w:p w14:paraId="33A8543E">
      <w:pPr>
        <w:pStyle w:val="9"/>
        <w:numPr>
          <w:ilvl w:val="6"/>
          <w:numId w:val="16"/>
        </w:numPr>
      </w:pPr>
      <w:r>
        <w:rPr>
          <w:rFonts w:hint="eastAsia"/>
        </w:rPr>
        <w:t>医保价项维护</w:t>
      </w:r>
    </w:p>
    <w:p w14:paraId="563D0673">
      <w:pPr>
        <w:pStyle w:val="3"/>
      </w:pPr>
      <w:r>
        <w:rPr>
          <w:rFonts w:hint="eastAsia"/>
        </w:rPr>
        <w:t>支持针对不同医保类别，维护诊疗与药品相应的医保代码、项目名称、比例等信息。</w:t>
      </w:r>
    </w:p>
    <w:p w14:paraId="22517D57">
      <w:pPr>
        <w:pStyle w:val="9"/>
        <w:numPr>
          <w:ilvl w:val="6"/>
          <w:numId w:val="16"/>
        </w:numPr>
      </w:pPr>
      <w:r>
        <w:rPr>
          <w:rFonts w:hint="eastAsia"/>
        </w:rPr>
        <w:t>医保特定目录字典</w:t>
      </w:r>
    </w:p>
    <w:p w14:paraId="092174CA">
      <w:pPr>
        <w:pStyle w:val="3"/>
      </w:pPr>
      <w:r>
        <w:rPr>
          <w:rFonts w:hint="eastAsia"/>
        </w:rPr>
        <w:t>支持维护医保慢病相关字典信息，包括编码、名称等，并针对某个特定病种进行分发药品和诊疗项目。</w:t>
      </w:r>
    </w:p>
    <w:p w14:paraId="3618E4B7">
      <w:pPr>
        <w:pStyle w:val="9"/>
        <w:numPr>
          <w:ilvl w:val="6"/>
          <w:numId w:val="16"/>
        </w:numPr>
      </w:pPr>
      <w:r>
        <w:rPr>
          <w:rFonts w:hint="eastAsia"/>
        </w:rPr>
        <w:t>单病种字典</w:t>
      </w:r>
    </w:p>
    <w:p w14:paraId="15F01D11">
      <w:pPr>
        <w:pStyle w:val="3"/>
      </w:pPr>
      <w:r>
        <w:rPr>
          <w:rFonts w:hint="eastAsia"/>
        </w:rPr>
        <w:t>支持维护医保单病种字典信息，包括单病种编码、名称、标准、金额、关联的对应诊断与手术等信息，并针对某个特定病种维护治疗材料信息。</w:t>
      </w:r>
    </w:p>
    <w:p w14:paraId="07BF023C">
      <w:pPr>
        <w:pStyle w:val="9"/>
        <w:numPr>
          <w:ilvl w:val="6"/>
          <w:numId w:val="16"/>
        </w:numPr>
      </w:pPr>
      <w:r>
        <w:rPr>
          <w:rFonts w:hint="eastAsia"/>
        </w:rPr>
        <w:t>医保对照管理</w:t>
      </w:r>
    </w:p>
    <w:p w14:paraId="7026B16D">
      <w:pPr>
        <w:pStyle w:val="3"/>
      </w:pPr>
      <w:r>
        <w:rPr>
          <w:rFonts w:hint="eastAsia"/>
        </w:rPr>
        <w:t>支持维护院内价项与医保价项对照信息，包括医院项目名称、院内价项、对应医保项目名称、单价、编码等信息，支持多个医院根据不同类型医保进行维护。</w:t>
      </w:r>
    </w:p>
    <w:p w14:paraId="5885580A">
      <w:pPr>
        <w:pStyle w:val="7"/>
        <w:numPr>
          <w:ilvl w:val="4"/>
          <w:numId w:val="16"/>
        </w:numPr>
      </w:pPr>
      <w:bookmarkStart w:id="502" w:name="_Toc147920894"/>
      <w:r>
        <w:rPr>
          <w:rFonts w:hint="eastAsia"/>
        </w:rPr>
        <w:t>配置管理系统</w:t>
      </w:r>
      <w:bookmarkEnd w:id="502"/>
    </w:p>
    <w:p w14:paraId="68BF91B3">
      <w:pPr>
        <w:pStyle w:val="3"/>
      </w:pPr>
      <w:r>
        <w:rPr>
          <w:rFonts w:hint="eastAsia"/>
        </w:rPr>
        <w:t>支持保证系统正常运行基本条件的配置，</w:t>
      </w:r>
      <w:r>
        <w:rPr>
          <w:rFonts w:hint="eastAsia" w:asciiTheme="minorEastAsia" w:hAnsiTheme="minorEastAsia" w:eastAsiaTheme="minorEastAsia"/>
        </w:rPr>
        <w:t>具备支持以下功能：</w:t>
      </w:r>
      <w:r>
        <w:rPr>
          <w:rFonts w:hint="eastAsia"/>
        </w:rPr>
        <w:t>系统参数管理、数据字典管理、系统菜单管理、系统提示内容配置、缓存配置、定时器配置。</w:t>
      </w:r>
    </w:p>
    <w:p w14:paraId="3DBEB973">
      <w:pPr>
        <w:pStyle w:val="8"/>
        <w:numPr>
          <w:ilvl w:val="5"/>
          <w:numId w:val="16"/>
        </w:numPr>
      </w:pPr>
      <w:r>
        <w:rPr>
          <w:rFonts w:hint="eastAsia"/>
        </w:rPr>
        <w:t>系统参数管理</w:t>
      </w:r>
    </w:p>
    <w:p w14:paraId="1A3B644F">
      <w:pPr>
        <w:pStyle w:val="3"/>
      </w:pPr>
      <w:r>
        <w:rPr>
          <w:rFonts w:hint="eastAsia"/>
        </w:rPr>
        <w:t>支持对系统业务流程控制类、系统业务判断类、系统业务入参类等业务运行参数的管理，能满足医院业务流程的变化，不需要修改程序，通过手工修改参数值即可完成医院应用模式的调整。</w:t>
      </w:r>
    </w:p>
    <w:p w14:paraId="4F4484C3">
      <w:pPr>
        <w:pStyle w:val="3"/>
      </w:pPr>
      <w:r>
        <w:rPr>
          <w:rFonts w:hint="eastAsia"/>
        </w:rPr>
        <w:t>可配置参数的生效范围，范围分为：全局参数、院区参数、个人参数。全局参数作用于所有用户和科室，默认生效。院区参数可将参数分发给对应科室，参数只在对应科室生效。个人参数可将参数分发给某个用户，参数只对某个登陆用户生效。</w:t>
      </w:r>
    </w:p>
    <w:p w14:paraId="423E7A9A">
      <w:pPr>
        <w:pStyle w:val="8"/>
        <w:numPr>
          <w:ilvl w:val="5"/>
          <w:numId w:val="16"/>
        </w:numPr>
      </w:pPr>
      <w:r>
        <w:rPr>
          <w:rFonts w:hint="eastAsia"/>
        </w:rPr>
        <w:t>数据字典管理</w:t>
      </w:r>
    </w:p>
    <w:p w14:paraId="3B4BB83F">
      <w:pPr>
        <w:pStyle w:val="3"/>
      </w:pPr>
      <w:r>
        <w:rPr>
          <w:rFonts w:hint="eastAsia"/>
        </w:rPr>
        <w:t>支持对业务数据字典内容进行可视化维护，可以按照字典分类查看字典所有内容，可以直接在界面修改字典内容以及增加内容，支持从外部</w:t>
      </w:r>
      <w:r>
        <w:t>E</w:t>
      </w:r>
      <w:r>
        <w:rPr>
          <w:rFonts w:hint="eastAsia"/>
        </w:rPr>
        <w:t>xcle文件等导入字典内容进系统。</w:t>
      </w:r>
    </w:p>
    <w:p w14:paraId="3DFA1FA1">
      <w:pPr>
        <w:pStyle w:val="8"/>
        <w:numPr>
          <w:ilvl w:val="5"/>
          <w:numId w:val="16"/>
        </w:numPr>
      </w:pPr>
      <w:r>
        <w:rPr>
          <w:rFonts w:hint="eastAsia"/>
        </w:rPr>
        <w:t>系统菜单管理</w:t>
      </w:r>
    </w:p>
    <w:p w14:paraId="797886AA">
      <w:pPr>
        <w:pStyle w:val="3"/>
      </w:pPr>
      <w:r>
        <w:rPr>
          <w:rFonts w:hint="eastAsia"/>
        </w:rPr>
        <w:t>支持对系统菜单统一进行管理，可新增、修改、删除菜单，可对菜单的使用权限进行统一分发和授权，可对菜单里具体页面内容进行配置管理。</w:t>
      </w:r>
    </w:p>
    <w:p w14:paraId="3CB88FE7">
      <w:pPr>
        <w:pStyle w:val="3"/>
      </w:pPr>
      <w:r>
        <w:rPr>
          <w:rFonts w:hint="eastAsia"/>
        </w:rPr>
        <w:t>1.按照系统分类展示对应系统下所有菜单，可在对应系统菜单类别下面增加子类别和菜单，可设置菜单的名称、类别、图标、快捷键以及菜单的地址链接，可对菜单显示位置进行显示顺序设置。</w:t>
      </w:r>
    </w:p>
    <w:p w14:paraId="3DEC326C">
      <w:pPr>
        <w:pStyle w:val="3"/>
      </w:pPr>
      <w:r>
        <w:rPr>
          <w:rFonts w:hint="eastAsia"/>
        </w:rPr>
        <w:t>2.支持将系统菜单分发给不同的角色以及科室，对应角色登陆对应科室后即可使用分发的菜单（需要同时分发角色和科室），支持批量分发以及权限收回。</w:t>
      </w:r>
    </w:p>
    <w:p w14:paraId="310150AB">
      <w:pPr>
        <w:pStyle w:val="3"/>
      </w:pPr>
      <w:r>
        <w:t>3.</w:t>
      </w:r>
      <w:r>
        <w:rPr>
          <w:rFonts w:hint="eastAsia"/>
        </w:rPr>
        <w:t>支持对菜单里的具体页面进行显示控制和默认值设置，可设置页面按钮或者子页面的显示隐藏状态，可设置页面文本控件的默认值，可设置页面或者控件的功能描述。</w:t>
      </w:r>
    </w:p>
    <w:p w14:paraId="36914CCE">
      <w:pPr>
        <w:pStyle w:val="3"/>
      </w:pPr>
      <w:r>
        <w:t>4.</w:t>
      </w:r>
      <w:r>
        <w:rPr>
          <w:rFonts w:hint="eastAsia"/>
        </w:rPr>
        <w:t>支持菜单下页面里的快捷键设置，系统将页面按钮、表单等控件加载出来，根据控件I</w:t>
      </w:r>
      <w:r>
        <w:t>D</w:t>
      </w:r>
      <w:r>
        <w:rPr>
          <w:rFonts w:hint="eastAsia"/>
        </w:rPr>
        <w:t>逐一设置使用控件时的快捷键，设置完成后用户在使用对应页面时，可通用使用快捷键进行全键盘操作。</w:t>
      </w:r>
    </w:p>
    <w:p w14:paraId="444887D0">
      <w:pPr>
        <w:pStyle w:val="8"/>
        <w:numPr>
          <w:ilvl w:val="5"/>
          <w:numId w:val="16"/>
        </w:numPr>
      </w:pPr>
      <w:r>
        <w:rPr>
          <w:rFonts w:hint="eastAsia"/>
        </w:rPr>
        <w:t>系统提示内容配置</w:t>
      </w:r>
    </w:p>
    <w:p w14:paraId="03F4C89C">
      <w:pPr>
        <w:pStyle w:val="3"/>
      </w:pPr>
      <w:r>
        <w:rPr>
          <w:rFonts w:hint="eastAsia"/>
        </w:rPr>
        <w:t>系统内置了各类提示语内容，维护人员可根据医院需求在原内容上修改提示语，不用修改程序，无需发布即可生效。</w:t>
      </w:r>
    </w:p>
    <w:p w14:paraId="4B747333">
      <w:pPr>
        <w:pStyle w:val="8"/>
        <w:numPr>
          <w:ilvl w:val="5"/>
          <w:numId w:val="16"/>
        </w:numPr>
      </w:pPr>
      <w:r>
        <w:rPr>
          <w:rFonts w:hint="eastAsia"/>
        </w:rPr>
        <w:t>定时器配置</w:t>
      </w:r>
    </w:p>
    <w:p w14:paraId="00CEB350">
      <w:pPr>
        <w:pStyle w:val="3"/>
      </w:pPr>
      <w:r>
        <w:rPr>
          <w:rFonts w:hint="eastAsia"/>
        </w:rPr>
        <w:t>系统可使用定时器在指定时间内对实时性要求不高且需要批量处理的业务进行定时执行，可避开系统运行的高峰期，保证系统稳定性。</w:t>
      </w:r>
    </w:p>
    <w:p w14:paraId="06096DB4">
      <w:pPr>
        <w:pStyle w:val="3"/>
      </w:pPr>
      <w:r>
        <w:rPr>
          <w:rFonts w:hint="eastAsia"/>
        </w:rPr>
        <w:t>配置系统支持对定时执行的任务的开启时间、执行频率、执行业务内容进行配置，可以对定时器进行增删改管理、定时器开启关闭管理、查看定时器运行状态、定时器配置的修改日志以及定时器的执行日志，并支持将失败的执行任务进行补执行。</w:t>
      </w:r>
    </w:p>
    <w:p w14:paraId="0B5EBC84">
      <w:pPr>
        <w:pStyle w:val="8"/>
        <w:numPr>
          <w:ilvl w:val="5"/>
          <w:numId w:val="16"/>
        </w:numPr>
      </w:pPr>
      <w:r>
        <w:rPr>
          <w:rFonts w:hint="eastAsia"/>
        </w:rPr>
        <w:t>模板平台</w:t>
      </w:r>
    </w:p>
    <w:p w14:paraId="26EF8FED">
      <w:pPr>
        <w:pStyle w:val="3"/>
      </w:pPr>
      <w:r>
        <w:rPr>
          <w:rFonts w:hint="eastAsia"/>
        </w:rPr>
        <w:t>根据相关政策和标准规范的要求，提供高质量的结构化电子病历模板制作与管理的功能。具体包括数据元管理、模板制作、模板管理</w:t>
      </w:r>
    </w:p>
    <w:p w14:paraId="42BF45CB">
      <w:pPr>
        <w:pStyle w:val="8"/>
        <w:numPr>
          <w:ilvl w:val="5"/>
          <w:numId w:val="16"/>
        </w:numPr>
      </w:pPr>
      <w:r>
        <w:rPr>
          <w:rFonts w:hint="eastAsia"/>
        </w:rPr>
        <w:t>票据制作平台</w:t>
      </w:r>
    </w:p>
    <w:p w14:paraId="0DF12BF3">
      <w:pPr>
        <w:pStyle w:val="3"/>
      </w:pPr>
      <w:r>
        <w:rPr>
          <w:rFonts w:hint="eastAsia"/>
        </w:rPr>
        <w:t>支持根据医院的需求定制系统业务需要使用的各类发票、清单、护理卡、上报卡等票据，提供可视化的制作界面，用户可自定义票据样式以及选择票据里数据来源，制作完成后可将票据分发给对应业务使用。具体包括票据制作、票据管理</w:t>
      </w:r>
    </w:p>
    <w:p w14:paraId="44C50D8E">
      <w:pPr>
        <w:pStyle w:val="8"/>
        <w:numPr>
          <w:ilvl w:val="5"/>
          <w:numId w:val="16"/>
        </w:numPr>
      </w:pPr>
      <w:r>
        <w:rPr>
          <w:rFonts w:hint="eastAsia"/>
        </w:rPr>
        <w:t>体温单设计器</w:t>
      </w:r>
    </w:p>
    <w:p w14:paraId="312AC652">
      <w:pPr>
        <w:pStyle w:val="3"/>
      </w:pPr>
      <w:r>
        <w:rPr>
          <w:rFonts w:hint="eastAsia"/>
        </w:rPr>
        <w:t>支持根据医院需求界面化配置体温单的展示样式，例如显示的格式、线条样式、上下注释样式等，配置完成后即可生效，无需发布程序。</w:t>
      </w:r>
    </w:p>
    <w:p w14:paraId="7A6F9AFA">
      <w:pPr>
        <w:pStyle w:val="3"/>
      </w:pPr>
      <w:r>
        <w:rPr>
          <w:rFonts w:hint="eastAsia"/>
        </w:rPr>
        <w:t>支持配置体温单的录入项目以及录入字典和校验规则，例如可配置需要录入的呼吸、心率等项目，配置体温的录入数值区间等。</w:t>
      </w:r>
    </w:p>
    <w:p w14:paraId="529AC892">
      <w:pPr>
        <w:pStyle w:val="8"/>
        <w:numPr>
          <w:ilvl w:val="5"/>
          <w:numId w:val="16"/>
        </w:numPr>
      </w:pPr>
      <w:r>
        <w:rPr>
          <w:rFonts w:hint="eastAsia"/>
        </w:rPr>
        <w:t>工作流配置</w:t>
      </w:r>
    </w:p>
    <w:p w14:paraId="5064F180">
      <w:pPr>
        <w:pStyle w:val="3"/>
      </w:pPr>
      <w:r>
        <w:rPr>
          <w:rFonts w:hint="eastAsia"/>
        </w:rPr>
        <w:t>针对医院固定的业务流程，例如输血流程、手术流程支持界面化配置。流程发生改变只需要修改工作流无需修改程序，支持对工作流进行增加、修改、删除，支持开启关闭工作流。工作流配置支持配置各个流程的执行条件、执行人以及下一步流程分支。</w:t>
      </w:r>
    </w:p>
    <w:p w14:paraId="42947055">
      <w:pPr>
        <w:pStyle w:val="8"/>
        <w:numPr>
          <w:ilvl w:val="5"/>
          <w:numId w:val="16"/>
        </w:numPr>
      </w:pPr>
      <w:r>
        <w:rPr>
          <w:rFonts w:hint="eastAsia"/>
        </w:rPr>
        <w:t>护理配置管理</w:t>
      </w:r>
    </w:p>
    <w:p w14:paraId="6CB0AEBD">
      <w:pPr>
        <w:pStyle w:val="3"/>
      </w:pPr>
      <w:r>
        <w:rPr>
          <w:rFonts w:hint="eastAsia"/>
        </w:rPr>
        <w:t>护理配置管理支持对护理类文书进行录入项目以及录入格式配置。主要包含护理记录项目配置、交接班配置、护理评估表格配置。</w:t>
      </w:r>
    </w:p>
    <w:p w14:paraId="46C98F0A">
      <w:pPr>
        <w:pStyle w:val="8"/>
        <w:numPr>
          <w:ilvl w:val="5"/>
          <w:numId w:val="16"/>
        </w:numPr>
      </w:pPr>
      <w:r>
        <w:rPr>
          <w:rFonts w:hint="eastAsia"/>
        </w:rPr>
        <w:t>角色管理</w:t>
      </w:r>
    </w:p>
    <w:p w14:paraId="57573435">
      <w:pPr>
        <w:pStyle w:val="3"/>
      </w:pPr>
      <w:r>
        <w:rPr>
          <w:rFonts w:hint="eastAsia"/>
        </w:rPr>
        <w:t>系统按照类别进行角色分类，角色管理可在对应的类别下新增、修改、作废角色，可以将多个角色归类为角色组。</w:t>
      </w:r>
    </w:p>
    <w:p w14:paraId="7612625B">
      <w:pPr>
        <w:pStyle w:val="3"/>
      </w:pPr>
      <w:r>
        <w:rPr>
          <w:rFonts w:hint="eastAsia"/>
        </w:rPr>
        <w:t>角色维护好后可对角色权限进行管理，包含角色拥有的菜单、角色可登陆的科室以及将角色分发给用户，用户拥有对应角色后即可使用分发的菜单与科室。</w:t>
      </w:r>
    </w:p>
    <w:p w14:paraId="5A28CFAC">
      <w:pPr>
        <w:pStyle w:val="8"/>
        <w:numPr>
          <w:ilvl w:val="5"/>
          <w:numId w:val="16"/>
        </w:numPr>
      </w:pPr>
      <w:r>
        <w:rPr>
          <w:rFonts w:hint="eastAsia"/>
        </w:rPr>
        <w:t>医疗组管理</w:t>
      </w:r>
    </w:p>
    <w:p w14:paraId="240BC94B">
      <w:pPr>
        <w:pStyle w:val="3"/>
      </w:pPr>
      <w:r>
        <w:rPr>
          <w:rFonts w:hint="eastAsia"/>
        </w:rPr>
        <w:t>系统支持根据门诊科室或者住院科室进行医疗组设置，一个科室可设置多个医疗组，每个医疗组能加入多位医生，可设置医生在医疗组里的级别，级别可与用户的业务权限绑定。</w:t>
      </w:r>
    </w:p>
    <w:p w14:paraId="5AB9B9CA">
      <w:pPr>
        <w:pStyle w:val="8"/>
        <w:numPr>
          <w:ilvl w:val="5"/>
          <w:numId w:val="16"/>
        </w:numPr>
      </w:pPr>
      <w:r>
        <w:rPr>
          <w:rFonts w:hint="eastAsia"/>
        </w:rPr>
        <w:t>科室管理</w:t>
      </w:r>
    </w:p>
    <w:p w14:paraId="5045BDA9">
      <w:pPr>
        <w:pStyle w:val="3"/>
      </w:pPr>
      <w:r>
        <w:rPr>
          <w:rFonts w:hint="eastAsia"/>
        </w:rPr>
        <w:t>支持对科室的信息进行维护与管理，信息包含：科室名称、科室属性、科室地址位置等基本信息。科室维护完成后可以进行人员分发，被分发的人员能登陆对应科室。</w:t>
      </w:r>
    </w:p>
    <w:p w14:paraId="1FB90DF8">
      <w:pPr>
        <w:pStyle w:val="8"/>
        <w:numPr>
          <w:ilvl w:val="5"/>
          <w:numId w:val="16"/>
        </w:numPr>
      </w:pPr>
      <w:r>
        <w:rPr>
          <w:rFonts w:hint="eastAsia"/>
        </w:rPr>
        <w:t>页面定制平台</w:t>
      </w:r>
    </w:p>
    <w:p w14:paraId="0F316CAF">
      <w:pPr>
        <w:pStyle w:val="3"/>
      </w:pPr>
      <w:r>
        <w:rPr>
          <w:rFonts w:hint="eastAsia"/>
        </w:rPr>
        <w:t>页面定制平台是一个所见即所得的页面可视化编辑器，实现零代码/低代码生成页面，让技术和非技术人员可以通过拖拽和配置，自助式快速生成业务功能页面，大大提高开发效率，降低技术开发的能力要求，减少业务功能页面开发成本，从而提高定制化需求的响应能力，提高用户的满意度。</w:t>
      </w:r>
    </w:p>
    <w:p w14:paraId="62DDDEE2">
      <w:pPr>
        <w:pStyle w:val="3"/>
      </w:pPr>
      <w:r>
        <w:rPr>
          <w:rFonts w:hint="eastAsia"/>
        </w:rPr>
        <w:t>针对医疗行业，页面定制平台解决了市面上通用低代码平台的常见痛点，提供了与第三方web系统的无缝集成能力，此外与浏览器的配合使用，使得硬件设备与页面直接对接成为可能。</w:t>
      </w:r>
    </w:p>
    <w:p w14:paraId="310D57FE">
      <w:pPr>
        <w:pStyle w:val="6"/>
        <w:numPr>
          <w:ilvl w:val="3"/>
          <w:numId w:val="16"/>
        </w:numPr>
        <w:rPr>
          <w:rFonts w:asciiTheme="minorEastAsia" w:hAnsiTheme="minorEastAsia" w:eastAsiaTheme="minorEastAsia"/>
        </w:rPr>
      </w:pPr>
      <w:bookmarkStart w:id="503" w:name="_Toc131287366"/>
      <w:bookmarkStart w:id="504" w:name="_Toc131066805"/>
      <w:r>
        <w:rPr>
          <w:rFonts w:hint="eastAsia" w:asciiTheme="minorEastAsia" w:hAnsiTheme="minorEastAsia" w:eastAsiaTheme="minorEastAsia"/>
        </w:rPr>
        <w:t>统一数据应用</w:t>
      </w:r>
      <w:bookmarkEnd w:id="503"/>
      <w:bookmarkEnd w:id="504"/>
    </w:p>
    <w:p w14:paraId="6CDAB4E8">
      <w:pPr>
        <w:pStyle w:val="7"/>
        <w:numPr>
          <w:ilvl w:val="4"/>
          <w:numId w:val="16"/>
        </w:numPr>
        <w:rPr>
          <w:rFonts w:asciiTheme="minorEastAsia" w:hAnsiTheme="minorEastAsia" w:eastAsiaTheme="minorEastAsia"/>
        </w:rPr>
      </w:pPr>
      <w:bookmarkStart w:id="505" w:name="_Toc129858469"/>
      <w:r>
        <w:rPr>
          <w:rFonts w:hint="eastAsia" w:asciiTheme="minorEastAsia" w:hAnsiTheme="minorEastAsia" w:eastAsiaTheme="minorEastAsia"/>
        </w:rPr>
        <w:t>统一综合报表</w:t>
      </w:r>
      <w:bookmarkEnd w:id="505"/>
      <w:r>
        <w:rPr>
          <w:rFonts w:hint="eastAsia" w:asciiTheme="minorEastAsia" w:hAnsiTheme="minorEastAsia" w:eastAsiaTheme="minorEastAsia"/>
        </w:rPr>
        <w:t>查询</w:t>
      </w:r>
    </w:p>
    <w:p w14:paraId="5431D5D2">
      <w:pPr>
        <w:pStyle w:val="3"/>
        <w:rPr>
          <w:rFonts w:asciiTheme="minorEastAsia" w:hAnsiTheme="minorEastAsia" w:eastAsiaTheme="minorEastAsia"/>
        </w:rPr>
      </w:pPr>
      <w:r>
        <w:rPr>
          <w:rFonts w:hint="eastAsia" w:asciiTheme="minorEastAsia" w:hAnsiTheme="minorEastAsia" w:eastAsiaTheme="minorEastAsia"/>
        </w:rPr>
        <w:t>医院综合查询报表具备支持以下功能：：</w:t>
      </w:r>
    </w:p>
    <w:p w14:paraId="3DCE76C8">
      <w:pPr>
        <w:pStyle w:val="3"/>
        <w:rPr>
          <w:rFonts w:asciiTheme="minorEastAsia" w:hAnsiTheme="minorEastAsia" w:eastAsiaTheme="minorEastAsia"/>
        </w:rPr>
      </w:pPr>
      <w:r>
        <w:rPr>
          <w:rFonts w:asciiTheme="minorEastAsia" w:hAnsiTheme="minorEastAsia" w:eastAsiaTheme="minorEastAsia"/>
        </w:rPr>
        <w:t>1.支持可视化报表制作，可根据医院要求定制各类统计查询报表。</w:t>
      </w:r>
    </w:p>
    <w:p w14:paraId="3FB0A043">
      <w:pPr>
        <w:pStyle w:val="3"/>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w:t>
      </w:r>
      <w:r>
        <w:rPr>
          <w:rFonts w:hint="eastAsia" w:asciiTheme="minorEastAsia" w:hAnsiTheme="minorEastAsia" w:eastAsiaTheme="minorEastAsia"/>
        </w:rPr>
        <w:t>可按角色、用户等多种方式对报表进行授权。</w:t>
      </w:r>
    </w:p>
    <w:p w14:paraId="12507878">
      <w:pPr>
        <w:pStyle w:val="3"/>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w:t>
      </w:r>
      <w:r>
        <w:rPr>
          <w:rFonts w:hint="eastAsia" w:asciiTheme="minorEastAsia" w:hAnsiTheme="minorEastAsia" w:eastAsiaTheme="minorEastAsia"/>
        </w:rPr>
        <w:t>提供报表检索日志记录功能。</w:t>
      </w:r>
    </w:p>
    <w:p w14:paraId="2F2C6EAD">
      <w:pPr>
        <w:pStyle w:val="3"/>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w:t>
      </w:r>
      <w:r>
        <w:rPr>
          <w:rFonts w:hint="eastAsia" w:asciiTheme="minorEastAsia" w:hAnsiTheme="minorEastAsia" w:eastAsiaTheme="minorEastAsia"/>
        </w:rPr>
        <w:t>支持报表备注记录功能。</w:t>
      </w:r>
    </w:p>
    <w:p w14:paraId="3A008424">
      <w:pPr>
        <w:pStyle w:val="3"/>
        <w:rPr>
          <w:rFonts w:asciiTheme="minorEastAsia" w:hAnsiTheme="minorEastAsia" w:eastAsiaTheme="minorEastAsia"/>
        </w:rPr>
      </w:pPr>
      <w:r>
        <w:rPr>
          <w:rFonts w:hint="eastAsia" w:asciiTheme="minorEastAsia" w:hAnsiTheme="minorEastAsia" w:eastAsiaTheme="minorEastAsia"/>
        </w:rPr>
        <w:t>5</w:t>
      </w:r>
      <w:r>
        <w:rPr>
          <w:rFonts w:asciiTheme="minorEastAsia" w:hAnsiTheme="minorEastAsia" w:eastAsiaTheme="minorEastAsia"/>
        </w:rPr>
        <w:t>.</w:t>
      </w:r>
      <w:r>
        <w:rPr>
          <w:rFonts w:hint="eastAsia" w:asciiTheme="minorEastAsia" w:hAnsiTheme="minorEastAsia" w:eastAsiaTheme="minorEastAsia"/>
        </w:rPr>
        <w:t>支持报表的导入导出作废功能。</w:t>
      </w:r>
    </w:p>
    <w:p w14:paraId="7624845D">
      <w:pPr>
        <w:pStyle w:val="3"/>
        <w:rPr>
          <w:rFonts w:asciiTheme="minorEastAsia" w:hAnsiTheme="minorEastAsia" w:eastAsiaTheme="minorEastAsia"/>
        </w:rPr>
      </w:pPr>
      <w:r>
        <w:rPr>
          <w:rFonts w:hint="eastAsia" w:asciiTheme="minorEastAsia" w:hAnsiTheme="minorEastAsia" w:eastAsiaTheme="minorEastAsia"/>
        </w:rPr>
        <w:t>6</w:t>
      </w:r>
      <w:r>
        <w:rPr>
          <w:rFonts w:asciiTheme="minorEastAsia" w:hAnsiTheme="minorEastAsia" w:eastAsiaTheme="minorEastAsia"/>
        </w:rPr>
        <w:t>.</w:t>
      </w:r>
      <w:r>
        <w:rPr>
          <w:rFonts w:hint="eastAsia" w:asciiTheme="minorEastAsia" w:hAnsiTheme="minorEastAsia" w:eastAsiaTheme="minorEastAsia"/>
        </w:rPr>
        <w:t>支持报表数据的排序、检索、过滤、导出功能。</w:t>
      </w:r>
    </w:p>
    <w:p w14:paraId="239C3FE5">
      <w:pPr>
        <w:pStyle w:val="3"/>
        <w:rPr>
          <w:rFonts w:asciiTheme="minorEastAsia" w:hAnsiTheme="minorEastAsia" w:eastAsiaTheme="minorEastAsia"/>
        </w:rPr>
      </w:pPr>
      <w:r>
        <w:rPr>
          <w:rFonts w:hint="eastAsia" w:asciiTheme="minorEastAsia" w:hAnsiTheme="minorEastAsia" w:eastAsiaTheme="minorEastAsia"/>
        </w:rPr>
        <w:t>7</w:t>
      </w:r>
      <w:r>
        <w:rPr>
          <w:rFonts w:asciiTheme="minorEastAsia" w:hAnsiTheme="minorEastAsia" w:eastAsiaTheme="minorEastAsia"/>
        </w:rPr>
        <w:t>.</w:t>
      </w:r>
      <w:r>
        <w:rPr>
          <w:rFonts w:hint="eastAsia" w:asciiTheme="minorEastAsia" w:hAnsiTheme="minorEastAsia" w:eastAsiaTheme="minorEastAsia"/>
        </w:rPr>
        <w:t>提供医院业务情况、资源利用、医疗质量、工作效率等各方面统计报表。</w:t>
      </w:r>
    </w:p>
    <w:p w14:paraId="6DE99026">
      <w:pPr>
        <w:pStyle w:val="7"/>
        <w:numPr>
          <w:ilvl w:val="4"/>
          <w:numId w:val="16"/>
        </w:numPr>
        <w:rPr>
          <w:rFonts w:asciiTheme="minorEastAsia" w:hAnsiTheme="minorEastAsia" w:eastAsiaTheme="minorEastAsia"/>
        </w:rPr>
      </w:pPr>
      <w:bookmarkStart w:id="506" w:name="_Toc129858470"/>
      <w:r>
        <w:rPr>
          <w:rFonts w:hint="eastAsia" w:asciiTheme="minorEastAsia" w:hAnsiTheme="minorEastAsia" w:eastAsiaTheme="minorEastAsia"/>
        </w:rPr>
        <w:t>统一</w:t>
      </w:r>
      <w:bookmarkEnd w:id="506"/>
      <w:r>
        <w:rPr>
          <w:rFonts w:hint="eastAsia" w:asciiTheme="minorEastAsia" w:hAnsiTheme="minorEastAsia" w:eastAsiaTheme="minorEastAsia"/>
        </w:rPr>
        <w:t>患者全息视图</w:t>
      </w:r>
    </w:p>
    <w:p w14:paraId="4FE7C000">
      <w:pPr>
        <w:pStyle w:val="3"/>
        <w:rPr>
          <w:rFonts w:asciiTheme="minorEastAsia" w:hAnsiTheme="minorEastAsia" w:eastAsiaTheme="minorEastAsia"/>
        </w:rPr>
      </w:pPr>
      <w:r>
        <w:rPr>
          <w:rFonts w:hint="eastAsia" w:asciiTheme="minorEastAsia" w:hAnsiTheme="minorEastAsia" w:eastAsiaTheme="minorEastAsia"/>
        </w:rPr>
        <w:t>患者全息视图系统基于临床数据中心实现病人诊疗信息的统一展现，横向以时间轴的方式显示病人的体征、医嘱等信息，纵向是以诊疗事件顺序来显示相关诊病信息，如检验、检查报告、手术记录等信息，支持报告的趋势分析、历史报告对比分析等功能。因所有的数据来源于数据中心，没有直接与业务系统交互，不仅效率上有保证，也避免了影响临床业务系统性能。</w:t>
      </w:r>
    </w:p>
    <w:p w14:paraId="67739E8D">
      <w:pPr>
        <w:pStyle w:val="3"/>
        <w:rPr>
          <w:rFonts w:asciiTheme="minorEastAsia" w:hAnsiTheme="minorEastAsia" w:eastAsiaTheme="minorEastAsia"/>
        </w:rPr>
      </w:pPr>
      <w:r>
        <w:rPr>
          <w:rFonts w:hint="eastAsia" w:asciiTheme="minorEastAsia" w:hAnsiTheme="minorEastAsia" w:eastAsiaTheme="minorEastAsia"/>
        </w:rPr>
        <w:t>具备支持以下功能：总览、文书查看、闭环管理、临床指标。</w:t>
      </w:r>
    </w:p>
    <w:p w14:paraId="6FA60487">
      <w:pPr>
        <w:pStyle w:val="7"/>
        <w:numPr>
          <w:ilvl w:val="4"/>
          <w:numId w:val="16"/>
        </w:numPr>
        <w:rPr>
          <w:rFonts w:asciiTheme="minorEastAsia" w:hAnsiTheme="minorEastAsia" w:eastAsiaTheme="minorEastAsia"/>
        </w:rPr>
      </w:pPr>
      <w:bookmarkStart w:id="507" w:name="_Toc104475736"/>
      <w:bookmarkEnd w:id="507"/>
      <w:bookmarkStart w:id="508" w:name="_Toc104364814"/>
      <w:bookmarkEnd w:id="508"/>
      <w:bookmarkStart w:id="509" w:name="_Toc104552928"/>
      <w:bookmarkEnd w:id="509"/>
      <w:bookmarkStart w:id="510" w:name="_Toc129858472"/>
      <w:r>
        <w:rPr>
          <w:rFonts w:hint="eastAsia" w:asciiTheme="minorEastAsia" w:hAnsiTheme="minorEastAsia" w:eastAsiaTheme="minorEastAsia"/>
        </w:rPr>
        <w:t>统一数据上报</w:t>
      </w:r>
      <w:bookmarkEnd w:id="510"/>
      <w:r>
        <w:rPr>
          <w:rFonts w:hint="eastAsia" w:asciiTheme="minorEastAsia" w:hAnsiTheme="minorEastAsia" w:eastAsiaTheme="minorEastAsia"/>
        </w:rPr>
        <w:t>管理</w:t>
      </w:r>
    </w:p>
    <w:p w14:paraId="5F973C4A">
      <w:pPr>
        <w:pStyle w:val="8"/>
        <w:numPr>
          <w:ilvl w:val="5"/>
          <w:numId w:val="16"/>
        </w:numPr>
        <w:rPr>
          <w:rFonts w:asciiTheme="minorEastAsia" w:hAnsiTheme="minorEastAsia" w:eastAsiaTheme="minorEastAsia"/>
        </w:rPr>
      </w:pPr>
      <w:bookmarkStart w:id="511" w:name="_Toc106695860"/>
      <w:r>
        <w:rPr>
          <w:rFonts w:hint="eastAsia" w:asciiTheme="minorEastAsia" w:hAnsiTheme="minorEastAsia" w:eastAsiaTheme="minorEastAsia"/>
        </w:rPr>
        <w:t>传染病信息上报</w:t>
      </w:r>
    </w:p>
    <w:p w14:paraId="46561F58">
      <w:pPr>
        <w:pStyle w:val="3"/>
      </w:pPr>
      <w:r>
        <w:rPr>
          <w:rFonts w:hint="eastAsia" w:asciiTheme="minorEastAsia" w:hAnsiTheme="minorEastAsia" w:eastAsiaTheme="minorEastAsia"/>
        </w:rPr>
        <w:t>具备支持以下功能：</w:t>
      </w:r>
    </w:p>
    <w:p w14:paraId="25B103E3">
      <w:pPr>
        <w:pStyle w:val="3"/>
        <w:rPr>
          <w:rFonts w:asciiTheme="minorEastAsia" w:hAnsiTheme="minorEastAsia" w:eastAsiaTheme="minorEastAsia"/>
        </w:rPr>
      </w:pPr>
      <w:r>
        <w:rPr>
          <w:rFonts w:hint="eastAsia" w:asciiTheme="minorEastAsia" w:hAnsiTheme="minorEastAsia" w:eastAsiaTheme="minorEastAsia"/>
        </w:rPr>
        <w:t>传染病信息上报，是医院疾控科或者院感科将门诊急诊确诊的传染病，及时上报到国家传染病报告信息管理系统，甲类和乙类中按甲类管理的传染病2小时内，其他乙类、丙类传染病24小时内通过数据上报平台进行报告。上报的传染病数据，支持从医院业务系统直接采集数据，也支持通过Excel模板导入上传数据。</w:t>
      </w:r>
    </w:p>
    <w:p w14:paraId="5DA4E48E">
      <w:pPr>
        <w:pStyle w:val="8"/>
        <w:numPr>
          <w:ilvl w:val="5"/>
          <w:numId w:val="16"/>
        </w:numPr>
        <w:rPr>
          <w:rFonts w:asciiTheme="minorEastAsia" w:hAnsiTheme="minorEastAsia" w:eastAsiaTheme="minorEastAsia"/>
        </w:rPr>
      </w:pPr>
      <w:r>
        <w:rPr>
          <w:rFonts w:hint="eastAsia" w:asciiTheme="minorEastAsia" w:hAnsiTheme="minorEastAsia" w:eastAsiaTheme="minorEastAsia"/>
        </w:rPr>
        <w:t>重大非传染性疾病及死亡信息上报</w:t>
      </w:r>
    </w:p>
    <w:p w14:paraId="50EF39CC">
      <w:pPr>
        <w:pStyle w:val="3"/>
      </w:pPr>
      <w:r>
        <w:rPr>
          <w:rFonts w:hint="eastAsia" w:asciiTheme="minorEastAsia" w:hAnsiTheme="minorEastAsia" w:eastAsiaTheme="minorEastAsia"/>
        </w:rPr>
        <w:t>具备支持以下功能：</w:t>
      </w:r>
    </w:p>
    <w:p w14:paraId="6491C92F">
      <w:pPr>
        <w:pStyle w:val="3"/>
        <w:rPr>
          <w:rFonts w:asciiTheme="minorEastAsia" w:hAnsiTheme="minorEastAsia" w:eastAsiaTheme="minorEastAsia"/>
        </w:rPr>
      </w:pPr>
      <w:r>
        <w:rPr>
          <w:rFonts w:hint="eastAsia" w:asciiTheme="minorEastAsia" w:hAnsiTheme="minorEastAsia" w:eastAsiaTheme="minorEastAsia"/>
        </w:rPr>
        <w:t>随着工业化、城镇化、人口老龄化进程加快和生态环境、生活方式变化，慢性非传染性疾病已经成为我国居民的主要死亡原因和疾病负担。心脑血管疾病、癌症、慢性呼吸系统疾病、糖尿病等慢性非传染性疾病导致的死亡人数占总死亡人数的比例逐渐升高。通过</w:t>
      </w:r>
      <w:r>
        <w:rPr>
          <w:rStyle w:val="52"/>
          <w:rFonts w:hint="eastAsia" w:asciiTheme="minorEastAsia" w:hAnsiTheme="minorEastAsia" w:eastAsiaTheme="minorEastAsia"/>
        </w:rPr>
        <w:t>上报</w:t>
      </w:r>
      <w:r>
        <w:rPr>
          <w:rFonts w:hint="eastAsia" w:asciiTheme="minorEastAsia" w:hAnsiTheme="minorEastAsia" w:eastAsiaTheme="minorEastAsia"/>
        </w:rPr>
        <w:t>平台及时将医院重大非传染性疾病及死亡信息上报至区、市、省平台。</w:t>
      </w:r>
    </w:p>
    <w:bookmarkEnd w:id="511"/>
    <w:p w14:paraId="0B4C050E">
      <w:pPr>
        <w:pStyle w:val="6"/>
        <w:numPr>
          <w:ilvl w:val="3"/>
          <w:numId w:val="16"/>
        </w:numPr>
        <w:rPr>
          <w:rFonts w:asciiTheme="minorEastAsia" w:hAnsiTheme="minorEastAsia" w:eastAsiaTheme="minorEastAsia"/>
        </w:rPr>
      </w:pPr>
      <w:r>
        <w:rPr>
          <w:rFonts w:hint="eastAsia" w:asciiTheme="minorEastAsia" w:hAnsiTheme="minorEastAsia" w:eastAsiaTheme="minorEastAsia"/>
        </w:rPr>
        <w:t>统一门户应用</w:t>
      </w:r>
    </w:p>
    <w:p w14:paraId="0157176B">
      <w:pPr>
        <w:pStyle w:val="3"/>
        <w:ind w:firstLineChars="0"/>
        <w:rPr>
          <w:rFonts w:asciiTheme="minorEastAsia" w:hAnsiTheme="minorEastAsia" w:eastAsiaTheme="minorEastAsia"/>
        </w:rPr>
      </w:pPr>
      <w:r>
        <w:rPr>
          <w:rFonts w:hint="eastAsia" w:asciiTheme="minorEastAsia" w:hAnsiTheme="minorEastAsia" w:eastAsiaTheme="minorEastAsia"/>
        </w:rPr>
        <w:t>统一门户是整个医院信息平台对内和对外使用的入口和展示的窗口，可根据不同的使用者进行配置和管理。具备支持以下功能：</w:t>
      </w:r>
    </w:p>
    <w:p w14:paraId="42C9D3B5">
      <w:pPr>
        <w:pStyle w:val="7"/>
        <w:numPr>
          <w:ilvl w:val="4"/>
          <w:numId w:val="16"/>
        </w:numPr>
        <w:rPr>
          <w:rFonts w:asciiTheme="minorEastAsia" w:hAnsiTheme="minorEastAsia" w:eastAsiaTheme="minorEastAsia"/>
        </w:rPr>
      </w:pPr>
      <w:r>
        <w:rPr>
          <w:rFonts w:hint="eastAsia" w:asciiTheme="minorEastAsia" w:hAnsiTheme="minorEastAsia" w:eastAsiaTheme="minorEastAsia"/>
        </w:rPr>
        <w:t>机构个性化门户管理</w:t>
      </w:r>
    </w:p>
    <w:p w14:paraId="7042B60B">
      <w:pPr>
        <w:pStyle w:val="3"/>
        <w:rPr>
          <w:rFonts w:asciiTheme="minorEastAsia" w:hAnsiTheme="minorEastAsia" w:eastAsiaTheme="minorEastAsia"/>
        </w:rPr>
      </w:pPr>
      <w:r>
        <w:rPr>
          <w:rFonts w:hint="eastAsia" w:asciiTheme="minorEastAsia" w:hAnsiTheme="minorEastAsia" w:eastAsiaTheme="minorEastAsia"/>
        </w:rPr>
        <w:t>面向医共体各成员单位，实现登录各个系统的用户与密码时的统一身份认证功能，让各机构用户在使用医共体内应用系统时能准确的寻找到需要的系统图标，方便系统安全验证；实现只需要记住一个密码就可以实现所有基于权限运用子系统的登录验证；登录一次就可以访问所有相互信任的应用系统，即用户只需要记住一组用户名和密码就可以登录所有具备权限的系统。</w:t>
      </w:r>
    </w:p>
    <w:p w14:paraId="04CE3B99">
      <w:pPr>
        <w:pStyle w:val="3"/>
        <w:rPr>
          <w:rFonts w:asciiTheme="minorEastAsia" w:hAnsiTheme="minorEastAsia" w:eastAsiaTheme="minorEastAsia"/>
        </w:rPr>
      </w:pPr>
      <w:r>
        <w:rPr>
          <w:rFonts w:hint="eastAsia" w:asciiTheme="minorEastAsia" w:hAnsiTheme="minorEastAsia" w:eastAsiaTheme="minorEastAsia"/>
        </w:rPr>
        <w:t>统一门户应用对各接入系统的用户帐户进行统一的身份权限认证，确认各帐户访问的权限及功能内容。权限认证功能包含身份认证和用户权限控制两部分。</w:t>
      </w:r>
    </w:p>
    <w:p w14:paraId="709D07EB">
      <w:pPr>
        <w:pStyle w:val="3"/>
        <w:rPr>
          <w:rFonts w:asciiTheme="minorEastAsia" w:hAnsiTheme="minorEastAsia" w:eastAsiaTheme="minorEastAsia"/>
        </w:rPr>
      </w:pPr>
      <w:r>
        <w:rPr>
          <w:rFonts w:hint="eastAsia" w:asciiTheme="minorEastAsia" w:hAnsiTheme="minorEastAsia" w:eastAsiaTheme="minorEastAsia"/>
        </w:rPr>
        <w:t>身份认证服务用于验证用户的身份，该项服务是在各接入系统的用户账户执行医疗服务应用与医共体平台之间的事务的场景下被调用，以验证参与事务用户的合法性。</w:t>
      </w:r>
    </w:p>
    <w:p w14:paraId="648630DF">
      <w:pPr>
        <w:pStyle w:val="3"/>
        <w:rPr>
          <w:rFonts w:asciiTheme="minorEastAsia" w:hAnsiTheme="minorEastAsia" w:eastAsiaTheme="minorEastAsia"/>
        </w:rPr>
      </w:pPr>
      <w:r>
        <w:rPr>
          <w:rFonts w:hint="eastAsia" w:asciiTheme="minorEastAsia" w:hAnsiTheme="minorEastAsia" w:eastAsiaTheme="minorEastAsia"/>
        </w:rPr>
        <w:t>用户权限控制用于根据实体统一身份认证情况，提供用户分类权限管理，依据安全策略控制用户对平台的访问。</w:t>
      </w:r>
    </w:p>
    <w:p w14:paraId="76C36B13">
      <w:pPr>
        <w:pStyle w:val="3"/>
        <w:rPr>
          <w:rFonts w:asciiTheme="minorEastAsia" w:hAnsiTheme="minorEastAsia" w:eastAsiaTheme="minorEastAsia"/>
        </w:rPr>
      </w:pPr>
      <w:r>
        <w:rPr>
          <w:rFonts w:hint="eastAsia" w:asciiTheme="minorEastAsia" w:hAnsiTheme="minorEastAsia" w:eastAsiaTheme="minorEastAsia"/>
        </w:rPr>
        <w:t>支持根据医院需求以及用户使用习惯，提供简单、迅速、客户化的门户配置，实现各种资源的集中管理，将医疗信息、医疗应用以有效的方式提供给医院使用者。个性化门户管理内容主要包含门户主题配置以及桌面配置。</w:t>
      </w:r>
    </w:p>
    <w:p w14:paraId="1B802A5C">
      <w:pPr>
        <w:pStyle w:val="7"/>
        <w:numPr>
          <w:ilvl w:val="4"/>
          <w:numId w:val="16"/>
        </w:numPr>
        <w:rPr>
          <w:rFonts w:asciiTheme="minorEastAsia" w:hAnsiTheme="minorEastAsia" w:eastAsiaTheme="minorEastAsia"/>
        </w:rPr>
      </w:pPr>
      <w:r>
        <w:rPr>
          <w:rFonts w:hint="eastAsia" w:asciiTheme="minorEastAsia" w:hAnsiTheme="minorEastAsia" w:eastAsiaTheme="minorEastAsia"/>
        </w:rPr>
        <w:t>机构身份认证及单点登录</w:t>
      </w:r>
    </w:p>
    <w:p w14:paraId="0C058F05">
      <w:pPr>
        <w:pStyle w:val="3"/>
        <w:rPr>
          <w:rFonts w:asciiTheme="minorEastAsia" w:hAnsiTheme="minorEastAsia" w:eastAsiaTheme="minorEastAsia"/>
        </w:rPr>
      </w:pPr>
      <w:r>
        <w:rPr>
          <w:rFonts w:hint="eastAsia" w:asciiTheme="minorEastAsia" w:hAnsiTheme="minorEastAsia" w:eastAsiaTheme="minorEastAsia"/>
        </w:rPr>
        <w:t>支持统一的身份认证和单点登录，用户在使用产品，无需重复登录与安装系统。同时支持与数字签名厂商进行对接，用户可通过短信、人脸或扫码等多种方式进行登陆。</w:t>
      </w:r>
    </w:p>
    <w:p w14:paraId="56BB0BD4">
      <w:pPr>
        <w:pStyle w:val="8"/>
        <w:numPr>
          <w:ilvl w:val="5"/>
          <w:numId w:val="16"/>
        </w:numPr>
        <w:rPr>
          <w:rFonts w:asciiTheme="minorEastAsia" w:hAnsiTheme="minorEastAsia" w:eastAsiaTheme="minorEastAsia"/>
        </w:rPr>
      </w:pPr>
      <w:r>
        <w:rPr>
          <w:rFonts w:hint="eastAsia" w:asciiTheme="minorEastAsia" w:hAnsiTheme="minorEastAsia" w:eastAsiaTheme="minorEastAsia"/>
        </w:rPr>
        <w:t>门户账户统一管理</w:t>
      </w:r>
    </w:p>
    <w:p w14:paraId="7351811E">
      <w:pPr>
        <w:pStyle w:val="103"/>
        <w:ind w:firstLine="480"/>
        <w:rPr>
          <w:rFonts w:asciiTheme="minorEastAsia" w:hAnsiTheme="minorEastAsia" w:eastAsiaTheme="minorEastAsia"/>
        </w:rPr>
      </w:pPr>
      <w:r>
        <w:rPr>
          <w:rFonts w:hint="eastAsia" w:asciiTheme="minorEastAsia" w:hAnsiTheme="minorEastAsia" w:eastAsiaTheme="minorEastAsia"/>
        </w:rPr>
        <w:t>对登录门户的用户进行增加、删除、修改等统一管理，主要包含以下功能：</w:t>
      </w:r>
    </w:p>
    <w:p w14:paraId="5407C433">
      <w:pPr>
        <w:pStyle w:val="103"/>
        <w:ind w:firstLine="480"/>
        <w:rPr>
          <w:rFonts w:asciiTheme="minorEastAsia" w:hAnsiTheme="minorEastAsia" w:eastAsiaTheme="minorEastAsia"/>
        </w:rPr>
      </w:pPr>
      <w:r>
        <w:rPr>
          <w:rFonts w:asciiTheme="minorEastAsia" w:hAnsiTheme="minorEastAsia" w:eastAsiaTheme="minorEastAsia"/>
        </w:rPr>
        <w:t>1</w:t>
      </w:r>
      <w:r>
        <w:rPr>
          <w:rFonts w:hint="eastAsia" w:asciiTheme="minorEastAsia" w:hAnsiTheme="minorEastAsia" w:eastAsiaTheme="minorEastAsia"/>
        </w:rPr>
        <w:t>.</w:t>
      </w:r>
      <w:r>
        <w:rPr>
          <w:rFonts w:asciiTheme="minorEastAsia" w:hAnsiTheme="minorEastAsia" w:eastAsiaTheme="minorEastAsia"/>
        </w:rPr>
        <w:t>用户账户可从外部通过文件形式导入到门户进行管理。</w:t>
      </w:r>
    </w:p>
    <w:p w14:paraId="178D0231">
      <w:pPr>
        <w:pStyle w:val="103"/>
        <w:ind w:firstLine="480"/>
        <w:rPr>
          <w:rFonts w:asciiTheme="minorEastAsia" w:hAnsiTheme="minorEastAsia" w:eastAsiaTheme="minorEastAsia"/>
        </w:rPr>
      </w:pPr>
      <w:r>
        <w:rPr>
          <w:rFonts w:asciiTheme="minorEastAsia" w:hAnsiTheme="minorEastAsia" w:eastAsiaTheme="minorEastAsia"/>
        </w:rPr>
        <w:t>2</w:t>
      </w:r>
      <w:r>
        <w:rPr>
          <w:rFonts w:hint="eastAsia" w:asciiTheme="minorEastAsia" w:hAnsiTheme="minorEastAsia" w:eastAsiaTheme="minorEastAsia"/>
        </w:rPr>
        <w:t>.</w:t>
      </w:r>
      <w:r>
        <w:rPr>
          <w:rFonts w:asciiTheme="minorEastAsia" w:hAnsiTheme="minorEastAsia" w:eastAsiaTheme="minorEastAsia"/>
        </w:rPr>
        <w:t>特殊情况暂时不允许用户使用系统时，可以锁定账户，锁定后禁止登陆。</w:t>
      </w:r>
    </w:p>
    <w:p w14:paraId="7EFCE1DC">
      <w:pPr>
        <w:pStyle w:val="103"/>
        <w:ind w:firstLine="480"/>
        <w:rPr>
          <w:rFonts w:asciiTheme="minorEastAsia" w:hAnsiTheme="minorEastAsia" w:eastAsiaTheme="minorEastAsia"/>
        </w:rPr>
      </w:pP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用户忘记密码后，可对账户密码进行重置。</w:t>
      </w:r>
    </w:p>
    <w:p w14:paraId="19A53B4A">
      <w:pPr>
        <w:pStyle w:val="103"/>
        <w:ind w:firstLine="480"/>
        <w:rPr>
          <w:rFonts w:asciiTheme="minorEastAsia" w:hAnsiTheme="minorEastAsia" w:eastAsiaTheme="minorEastAsia"/>
        </w:rPr>
      </w:pPr>
      <w:r>
        <w:rPr>
          <w:rFonts w:asciiTheme="minorEastAsia" w:hAnsiTheme="minorEastAsia" w:eastAsiaTheme="minorEastAsia"/>
        </w:rPr>
        <w:t>4</w:t>
      </w:r>
      <w:r>
        <w:rPr>
          <w:rFonts w:hint="eastAsia" w:asciiTheme="minorEastAsia" w:hAnsiTheme="minorEastAsia" w:eastAsiaTheme="minorEastAsia"/>
        </w:rPr>
        <w:t>.</w:t>
      </w:r>
      <w:r>
        <w:rPr>
          <w:rFonts w:asciiTheme="minorEastAsia" w:hAnsiTheme="minorEastAsia" w:eastAsiaTheme="minorEastAsia"/>
        </w:rPr>
        <w:t>支持设置账户的有效开始时间和失效时间，未设置时间默认永久有效，有设置时间只能在设置的时间范围内使用该账户。</w:t>
      </w:r>
    </w:p>
    <w:p w14:paraId="333475EA">
      <w:pPr>
        <w:pStyle w:val="103"/>
        <w:ind w:firstLine="480"/>
        <w:rPr>
          <w:rFonts w:asciiTheme="minorEastAsia" w:hAnsiTheme="minorEastAsia" w:eastAsiaTheme="minorEastAsia"/>
        </w:rPr>
      </w:pPr>
      <w:r>
        <w:rPr>
          <w:rFonts w:asciiTheme="minorEastAsia" w:hAnsiTheme="minorEastAsia" w:eastAsiaTheme="minorEastAsia"/>
        </w:rPr>
        <w:t>5</w:t>
      </w:r>
      <w:r>
        <w:rPr>
          <w:rFonts w:hint="eastAsia" w:asciiTheme="minorEastAsia" w:hAnsiTheme="minorEastAsia" w:eastAsiaTheme="minorEastAsia"/>
        </w:rPr>
        <w:t>.</w:t>
      </w:r>
      <w:r>
        <w:rPr>
          <w:rFonts w:asciiTheme="minorEastAsia" w:hAnsiTheme="minorEastAsia" w:eastAsiaTheme="minorEastAsia"/>
        </w:rPr>
        <w:t>支持查看所有用户登陆系统的日志信息，包含：登陆人、登陆时间、在线状态、登陆的设备信息、登陆方式、退出时间等。</w:t>
      </w:r>
    </w:p>
    <w:p w14:paraId="20801A0A">
      <w:pPr>
        <w:pStyle w:val="103"/>
        <w:ind w:firstLine="480"/>
        <w:rPr>
          <w:rFonts w:asciiTheme="minorEastAsia" w:hAnsiTheme="minorEastAsia" w:eastAsiaTheme="minorEastAsia"/>
        </w:rPr>
      </w:pPr>
      <w:r>
        <w:rPr>
          <w:rFonts w:asciiTheme="minorEastAsia" w:hAnsiTheme="minorEastAsia" w:eastAsiaTheme="minorEastAsia"/>
        </w:rPr>
        <w:t>6</w:t>
      </w:r>
      <w:r>
        <w:rPr>
          <w:rFonts w:hint="eastAsia" w:asciiTheme="minorEastAsia" w:hAnsiTheme="minorEastAsia" w:eastAsiaTheme="minorEastAsia"/>
        </w:rPr>
        <w:t>.</w:t>
      </w:r>
      <w:r>
        <w:rPr>
          <w:rFonts w:asciiTheme="minorEastAsia" w:hAnsiTheme="minorEastAsia" w:eastAsiaTheme="minorEastAsia"/>
        </w:rPr>
        <w:t>支持查看所有用户对账户操作的日志信息，包含：操作类型（修改密码、重置密码等）、操作人、操作时间、操作设备信息。</w:t>
      </w:r>
    </w:p>
    <w:p w14:paraId="74155658">
      <w:pPr>
        <w:pStyle w:val="83"/>
        <w:rPr>
          <w:rFonts w:asciiTheme="minorEastAsia" w:hAnsiTheme="minorEastAsia" w:eastAsiaTheme="minorEastAsia"/>
        </w:rPr>
      </w:pPr>
    </w:p>
    <w:p w14:paraId="573D9658">
      <w:pPr>
        <w:pStyle w:val="8"/>
        <w:numPr>
          <w:ilvl w:val="5"/>
          <w:numId w:val="16"/>
        </w:numPr>
        <w:rPr>
          <w:rFonts w:asciiTheme="minorEastAsia" w:hAnsiTheme="minorEastAsia" w:eastAsiaTheme="minorEastAsia"/>
        </w:rPr>
      </w:pPr>
      <w:r>
        <w:rPr>
          <w:rFonts w:hint="eastAsia" w:asciiTheme="minorEastAsia" w:hAnsiTheme="minorEastAsia" w:eastAsiaTheme="minorEastAsia"/>
        </w:rPr>
        <w:t>用户权限管理</w:t>
      </w:r>
    </w:p>
    <w:p w14:paraId="52947974">
      <w:pPr>
        <w:pStyle w:val="103"/>
        <w:ind w:firstLine="480"/>
        <w:rPr>
          <w:rFonts w:asciiTheme="minorEastAsia" w:hAnsiTheme="minorEastAsia" w:eastAsiaTheme="minorEastAsia"/>
        </w:rPr>
      </w:pPr>
      <w:r>
        <w:rPr>
          <w:rFonts w:hint="eastAsia" w:asciiTheme="minorEastAsia" w:hAnsiTheme="minorEastAsia" w:eastAsiaTheme="minorEastAsia"/>
        </w:rPr>
        <w:t>支持对用户登陆门户后可使用的功能进行管理，包含：</w:t>
      </w:r>
    </w:p>
    <w:p w14:paraId="2080203B">
      <w:pPr>
        <w:pStyle w:val="103"/>
        <w:ind w:firstLine="480"/>
        <w:rPr>
          <w:rFonts w:asciiTheme="minorEastAsia" w:hAnsiTheme="minorEastAsia" w:eastAsiaTheme="minorEastAsia"/>
        </w:rPr>
      </w:pPr>
      <w:r>
        <w:rPr>
          <w:rFonts w:asciiTheme="minorEastAsia" w:hAnsiTheme="minorEastAsia" w:eastAsiaTheme="minorEastAsia"/>
        </w:rPr>
        <w:t>1</w:t>
      </w:r>
      <w:r>
        <w:rPr>
          <w:rFonts w:hint="eastAsia" w:asciiTheme="minorEastAsia" w:hAnsiTheme="minorEastAsia" w:eastAsiaTheme="minorEastAsia"/>
        </w:rPr>
        <w:t>.</w:t>
      </w:r>
      <w:r>
        <w:rPr>
          <w:rFonts w:asciiTheme="minorEastAsia" w:hAnsiTheme="minorEastAsia" w:eastAsiaTheme="minorEastAsia"/>
        </w:rPr>
        <w:t>支持配置对应用户角色可使用的系统菜单，实现用户在权限内的菜单进入对应业务应用。</w:t>
      </w:r>
    </w:p>
    <w:p w14:paraId="08582139">
      <w:pPr>
        <w:pStyle w:val="103"/>
        <w:ind w:firstLine="480"/>
        <w:rPr>
          <w:rFonts w:asciiTheme="minorEastAsia" w:hAnsiTheme="minorEastAsia" w:eastAsiaTheme="minorEastAsia"/>
        </w:rPr>
      </w:pPr>
      <w:r>
        <w:rPr>
          <w:rFonts w:asciiTheme="minorEastAsia" w:hAnsiTheme="minorEastAsia" w:eastAsiaTheme="minorEastAsia"/>
        </w:rPr>
        <w:t>2</w:t>
      </w:r>
      <w:r>
        <w:rPr>
          <w:rFonts w:hint="eastAsia" w:asciiTheme="minorEastAsia" w:hAnsiTheme="minorEastAsia" w:eastAsiaTheme="minorEastAsia"/>
        </w:rPr>
        <w:t>.</w:t>
      </w:r>
      <w:r>
        <w:rPr>
          <w:rFonts w:asciiTheme="minorEastAsia" w:hAnsiTheme="minorEastAsia" w:eastAsiaTheme="minorEastAsia"/>
        </w:rPr>
        <w:t>支持配置对应用户角色可使用的门户组件与工具，实现用户在门户内可选择使用对应的组件和工具。</w:t>
      </w:r>
    </w:p>
    <w:p w14:paraId="0415E7FD">
      <w:pPr>
        <w:pStyle w:val="103"/>
        <w:ind w:firstLine="480"/>
        <w:rPr>
          <w:rFonts w:asciiTheme="minorEastAsia" w:hAnsiTheme="minorEastAsia" w:eastAsiaTheme="minorEastAsia"/>
        </w:rPr>
      </w:pP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支持配置角色可使用的默认门户桌面，实现用户登陆系统后可选择使用配置的默认门户桌面，同时支持配置多个桌面。</w:t>
      </w:r>
    </w:p>
    <w:p w14:paraId="6DBBE84C">
      <w:pPr>
        <w:pStyle w:val="8"/>
        <w:numPr>
          <w:ilvl w:val="5"/>
          <w:numId w:val="16"/>
        </w:numPr>
        <w:rPr>
          <w:rFonts w:asciiTheme="minorEastAsia" w:hAnsiTheme="minorEastAsia" w:eastAsiaTheme="minorEastAsia"/>
        </w:rPr>
      </w:pPr>
      <w:r>
        <w:rPr>
          <w:rFonts w:hint="eastAsia" w:asciiTheme="minorEastAsia" w:hAnsiTheme="minorEastAsia" w:eastAsiaTheme="minorEastAsia"/>
        </w:rPr>
        <w:t>单点登录</w:t>
      </w:r>
    </w:p>
    <w:p w14:paraId="174A12F3">
      <w:pPr>
        <w:pStyle w:val="3"/>
        <w:rPr>
          <w:rFonts w:asciiTheme="minorEastAsia" w:hAnsiTheme="minorEastAsia" w:eastAsiaTheme="minorEastAsia"/>
        </w:rPr>
      </w:pPr>
      <w:r>
        <w:rPr>
          <w:rFonts w:hint="eastAsia" w:asciiTheme="minorEastAsia" w:hAnsiTheme="minorEastAsia" w:eastAsiaTheme="minorEastAsia"/>
        </w:rPr>
        <w:t>产品体系均已支持统一的身份认证和单点登录，用户在使用产品，无需重复登录。</w:t>
      </w:r>
    </w:p>
    <w:p w14:paraId="65EB922D">
      <w:pPr>
        <w:pStyle w:val="18"/>
        <w:ind w:firstLine="480" w:firstLineChars="200"/>
        <w:rPr>
          <w:rFonts w:asciiTheme="minorEastAsia" w:hAnsiTheme="minorEastAsia" w:eastAsiaTheme="minorEastAsia"/>
        </w:rPr>
      </w:pPr>
      <w:r>
        <w:rPr>
          <w:rFonts w:hint="eastAsia" w:asciiTheme="minorEastAsia" w:hAnsiTheme="minorEastAsia" w:eastAsiaTheme="minorEastAsia"/>
        </w:rPr>
        <w:t>支持与合作伙伴产品对接实现统一身份认证和单点登录，用户在使用合作伙伴产品，无需重复登录。同时支持系统嵌入到门户中，如下：</w:t>
      </w:r>
    </w:p>
    <w:p w14:paraId="437C6201">
      <w:pPr>
        <w:pStyle w:val="103"/>
        <w:ind w:firstLine="480"/>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w:t>
      </w:r>
      <w:r>
        <w:rPr>
          <w:rFonts w:hint="eastAsia" w:asciiTheme="minorEastAsia" w:hAnsiTheme="minorEastAsia" w:eastAsiaTheme="minorEastAsia"/>
        </w:rPr>
        <w:t>针对B</w:t>
      </w:r>
      <w:r>
        <w:rPr>
          <w:rFonts w:asciiTheme="minorEastAsia" w:hAnsiTheme="minorEastAsia" w:eastAsiaTheme="minorEastAsia"/>
        </w:rPr>
        <w:t>/S</w:t>
      </w:r>
      <w:r>
        <w:rPr>
          <w:rFonts w:hint="eastAsia" w:asciiTheme="minorEastAsia" w:hAnsiTheme="minorEastAsia" w:eastAsiaTheme="minorEastAsia"/>
        </w:rPr>
        <w:t>系统，可实现菜单级别的嵌入，合作厂商需提供系统菜单U</w:t>
      </w:r>
      <w:r>
        <w:rPr>
          <w:rFonts w:asciiTheme="minorEastAsia" w:hAnsiTheme="minorEastAsia" w:eastAsiaTheme="minorEastAsia"/>
        </w:rPr>
        <w:t>RL</w:t>
      </w:r>
      <w:r>
        <w:rPr>
          <w:rFonts w:hint="eastAsia" w:asciiTheme="minorEastAsia" w:hAnsiTheme="minorEastAsia" w:eastAsiaTheme="minorEastAsia"/>
        </w:rPr>
        <w:t>地址，对接后可在统一门户中打开。</w:t>
      </w:r>
    </w:p>
    <w:p w14:paraId="0FCB4F31">
      <w:pPr>
        <w:pStyle w:val="103"/>
        <w:ind w:firstLine="480"/>
      </w:pPr>
      <w:r>
        <w:rPr>
          <w:rFonts w:hint="eastAsia" w:asciiTheme="minorEastAsia" w:hAnsiTheme="minorEastAsia" w:eastAsiaTheme="minorEastAsia"/>
        </w:rPr>
        <w:t>2</w:t>
      </w:r>
      <w:r>
        <w:rPr>
          <w:rFonts w:asciiTheme="minorEastAsia" w:hAnsiTheme="minorEastAsia" w:eastAsiaTheme="minorEastAsia"/>
        </w:rPr>
        <w:t>.</w:t>
      </w:r>
      <w:r>
        <w:rPr>
          <w:rFonts w:hint="eastAsia" w:asciiTheme="minorEastAsia" w:hAnsiTheme="minorEastAsia" w:eastAsiaTheme="minorEastAsia"/>
        </w:rPr>
        <w:t>针对C</w:t>
      </w:r>
      <w:r>
        <w:rPr>
          <w:rFonts w:asciiTheme="minorEastAsia" w:hAnsiTheme="minorEastAsia" w:eastAsiaTheme="minorEastAsia"/>
        </w:rPr>
        <w:t>/S</w:t>
      </w:r>
      <w:r>
        <w:rPr>
          <w:rFonts w:hint="eastAsia" w:asciiTheme="minorEastAsia" w:hAnsiTheme="minorEastAsia" w:eastAsiaTheme="minorEastAsia"/>
        </w:rPr>
        <w:t>系统，在门户配置系统的启动程序，则可在统一门户中启动打开，实现统一登录入口。</w:t>
      </w:r>
    </w:p>
    <w:p w14:paraId="6D746906">
      <w:pPr>
        <w:pStyle w:val="5"/>
        <w:numPr>
          <w:ilvl w:val="2"/>
          <w:numId w:val="16"/>
        </w:numPr>
        <w:rPr>
          <w:rFonts w:asciiTheme="minorEastAsia" w:hAnsiTheme="minorEastAsia" w:eastAsiaTheme="minorEastAsia"/>
        </w:rPr>
      </w:pPr>
      <w:bookmarkStart w:id="512" w:name="_Toc202539083"/>
      <w:r>
        <w:rPr>
          <w:rFonts w:hint="eastAsia" w:asciiTheme="minorEastAsia" w:hAnsiTheme="minorEastAsia" w:eastAsiaTheme="minorEastAsia"/>
        </w:rPr>
        <w:t>基层电子病历</w:t>
      </w:r>
      <w:bookmarkEnd w:id="500"/>
      <w:bookmarkEnd w:id="512"/>
    </w:p>
    <w:p w14:paraId="336130AB">
      <w:pPr>
        <w:pStyle w:val="3"/>
      </w:pPr>
      <w:r>
        <w:rPr>
          <w:rFonts w:hint="eastAsia"/>
        </w:rPr>
        <w:t>以乌拉特前旗人民医院的电子病历系统为主，延伸覆盖基层机构。</w:t>
      </w:r>
    </w:p>
    <w:p w14:paraId="434A825A">
      <w:pPr>
        <w:pStyle w:val="6"/>
        <w:numPr>
          <w:ilvl w:val="3"/>
          <w:numId w:val="16"/>
        </w:numPr>
      </w:pPr>
      <w:bookmarkStart w:id="513" w:name="_Toc37665055"/>
      <w:bookmarkStart w:id="514" w:name="_Toc147920867"/>
      <w:r>
        <w:rPr>
          <w:rFonts w:hint="eastAsia"/>
        </w:rPr>
        <w:t>门诊电子病历系统</w:t>
      </w:r>
      <w:bookmarkEnd w:id="513"/>
      <w:bookmarkEnd w:id="514"/>
    </w:p>
    <w:p w14:paraId="770B7D0B">
      <w:pPr>
        <w:pStyle w:val="3"/>
      </w:pPr>
      <w:r>
        <w:rPr>
          <w:rFonts w:hint="eastAsia" w:asciiTheme="minorEastAsia" w:hAnsiTheme="minorEastAsia" w:eastAsiaTheme="minorEastAsia"/>
        </w:rPr>
        <w:t>具备支持以下功能：</w:t>
      </w:r>
    </w:p>
    <w:p w14:paraId="288A604F">
      <w:pPr>
        <w:pStyle w:val="7"/>
        <w:numPr>
          <w:ilvl w:val="4"/>
          <w:numId w:val="16"/>
        </w:numPr>
      </w:pPr>
      <w:r>
        <w:rPr>
          <w:rFonts w:hint="eastAsia"/>
        </w:rPr>
        <w:t>病历分类和模板</w:t>
      </w:r>
    </w:p>
    <w:p w14:paraId="44EFF0E3">
      <w:pPr>
        <w:pStyle w:val="3"/>
      </w:pPr>
      <w:r>
        <w:rPr>
          <w:rFonts w:hint="eastAsia"/>
        </w:rPr>
        <w:t>门诊电子病历主要包括初诊电子病历、复诊电子病历、电子传染病报告、电子出生证明和电子死亡医学证明等。</w:t>
      </w:r>
    </w:p>
    <w:p w14:paraId="694DD3BF">
      <w:pPr>
        <w:pStyle w:val="3"/>
      </w:pPr>
      <w:r>
        <w:rPr>
          <w:rFonts w:hint="eastAsia"/>
        </w:rPr>
        <w:t>提供结构化病历模板、内容段落模板两级模板。结构化模板可包含单选项、多选项、必填项、填空、不可修改文本等元素，在病历书写过程中更好的引导和提示医生书写内容的形式和必填项。</w:t>
      </w:r>
    </w:p>
    <w:p w14:paraId="625564E9">
      <w:pPr>
        <w:pStyle w:val="7"/>
        <w:numPr>
          <w:ilvl w:val="4"/>
          <w:numId w:val="16"/>
        </w:numPr>
        <w:rPr>
          <w:rFonts w:eastAsia="宋体"/>
        </w:rPr>
      </w:pPr>
      <w:r>
        <w:rPr>
          <w:rFonts w:hint="eastAsia"/>
        </w:rPr>
        <w:t>病历内容</w:t>
      </w:r>
    </w:p>
    <w:p w14:paraId="16EBD938">
      <w:pPr>
        <w:pStyle w:val="3"/>
      </w:pPr>
      <w:r>
        <w:rPr>
          <w:rFonts w:hint="eastAsia"/>
        </w:rPr>
        <w:t>门诊病历首页内容包括患者姓名、性别、出生年月日、民族、婚姻状况、职业、工作单位、住址、药物过敏史等项目。病历记录书写内容包括初诊标识、就诊时间、科别、主诉、现病史、既往史，阳性体征、必要的阴性体征、辅助检查结果、诊断及治疗意见和医师签名等。系统会根据医生的书写习惯和词汇书写频率，在书写的时候，自动匹配联想接下来的内容，医生使用的越多，我们的录入引擎就更智能，越用越好用。</w:t>
      </w:r>
    </w:p>
    <w:p w14:paraId="2930FE72">
      <w:pPr>
        <w:pStyle w:val="7"/>
        <w:numPr>
          <w:ilvl w:val="4"/>
          <w:numId w:val="16"/>
        </w:numPr>
      </w:pPr>
      <w:r>
        <w:rPr>
          <w:rFonts w:hint="eastAsia"/>
        </w:rPr>
        <w:t>诊断录入</w:t>
      </w:r>
    </w:p>
    <w:p w14:paraId="52184CF1">
      <w:pPr>
        <w:pStyle w:val="3"/>
      </w:pPr>
      <w:r>
        <w:rPr>
          <w:rFonts w:hint="eastAsia"/>
        </w:rPr>
        <w:t>疾病诊断采用ICD10疾病分类编码作为诊断字典，可模糊检索诊断名称定位诊断，可查看诊断编码、传染病标识等信息，也可对疾病诊断补充进行说明。医院可自定义诊断，对应到ICD10疾病分类编码，医生在下诊断的时候可以选择自定义诊断字典。有中医业务的医院在下诊断的时候，需要同时下达中医证型和病名，在保存诊断时，会进行校验提示。</w:t>
      </w:r>
    </w:p>
    <w:p w14:paraId="5AA96193">
      <w:pPr>
        <w:pStyle w:val="7"/>
        <w:numPr>
          <w:ilvl w:val="4"/>
          <w:numId w:val="16"/>
        </w:numPr>
      </w:pPr>
      <w:r>
        <w:rPr>
          <w:rFonts w:hint="eastAsia"/>
        </w:rPr>
        <w:t>续写病历</w:t>
      </w:r>
    </w:p>
    <w:p w14:paraId="41C69CEF">
      <w:pPr>
        <w:pStyle w:val="3"/>
      </w:pPr>
      <w:r>
        <w:rPr>
          <w:rFonts w:hint="eastAsia"/>
        </w:rPr>
        <w:t>针对复诊患者，可选择初诊病历进行查看初诊的病历信息，复诊医生可以在初诊病历的基础上进行本来病历内容的书写。当出现初诊医生和复诊医生不是同一个人时，病历上会同时保存这两个医生的签名，医生可以根据当前患者的实际情况补充录入诊断信息。</w:t>
      </w:r>
    </w:p>
    <w:p w14:paraId="354867E5">
      <w:pPr>
        <w:pStyle w:val="7"/>
        <w:numPr>
          <w:ilvl w:val="4"/>
          <w:numId w:val="16"/>
        </w:numPr>
      </w:pPr>
      <w:r>
        <w:rPr>
          <w:rFonts w:hint="eastAsia"/>
        </w:rPr>
        <w:t>离线病历保存</w:t>
      </w:r>
    </w:p>
    <w:p w14:paraId="2F27BC24">
      <w:pPr>
        <w:pStyle w:val="3"/>
      </w:pPr>
      <w:r>
        <w:rPr>
          <w:rFonts w:hint="eastAsia"/>
        </w:rPr>
        <w:t>在工作过程中，如果程序因为网络、断电等情况异常关闭，病历来不及保存，系统支持自动离线保存病历，当程序恢复工作，再次打开系统时，可选择是否恢复之前书写的病历，减少因为意外情况导致医生重复工作的增加。</w:t>
      </w:r>
    </w:p>
    <w:p w14:paraId="2883E57C">
      <w:pPr>
        <w:pStyle w:val="7"/>
        <w:numPr>
          <w:ilvl w:val="4"/>
          <w:numId w:val="16"/>
        </w:numPr>
      </w:pPr>
      <w:r>
        <w:rPr>
          <w:rFonts w:hint="eastAsia"/>
        </w:rPr>
        <w:t>传染病上报</w:t>
      </w:r>
    </w:p>
    <w:p w14:paraId="57D81A96">
      <w:pPr>
        <w:pStyle w:val="3"/>
      </w:pPr>
      <w:r>
        <w:rPr>
          <w:rFonts w:hint="eastAsia"/>
        </w:rPr>
        <w:t>医生诊治过程中，发现患者属于传染病类型，需及时上报。系统在医生录入传染病诊断后，提示医生需要进行传染病上报，医生可根据实际情况选择立即上报或者填写暂不上报原因。系统提供电子传染病报告卡由医生填写，并对必填项等填报规则内置校验。对于患者要求的开具疾病证明需求，支持引用病人基本信息和诊断信息，填充疾病证明的内容。</w:t>
      </w:r>
    </w:p>
    <w:p w14:paraId="4CCF69D7">
      <w:pPr>
        <w:pStyle w:val="7"/>
        <w:numPr>
          <w:ilvl w:val="4"/>
          <w:numId w:val="16"/>
        </w:numPr>
      </w:pPr>
      <w:r>
        <w:rPr>
          <w:rFonts w:hint="eastAsia"/>
        </w:rPr>
        <w:t>病种引用</w:t>
      </w:r>
    </w:p>
    <w:p w14:paraId="5CA58499">
      <w:pPr>
        <w:pStyle w:val="3"/>
      </w:pPr>
      <w:r>
        <w:rPr>
          <w:rFonts w:hint="eastAsia"/>
        </w:rPr>
        <w:t>医生在病历书写过程中，可对病历进行按专业归类并另存为病种模板，在下次书写病历时，可根据患者的主诉等信息，快速引用相似病种模板，支持在引用后的病种模板基础上，根据实际情况修改病历，保存病历，从而快速完成病历的书写。病种共享权限分为个人、科室、全院，支持根据个人、科室、全院不同的行政范围维护病种模板，使用模板。</w:t>
      </w:r>
    </w:p>
    <w:p w14:paraId="0BDD914B">
      <w:pPr>
        <w:pStyle w:val="7"/>
        <w:numPr>
          <w:ilvl w:val="4"/>
          <w:numId w:val="16"/>
        </w:numPr>
      </w:pPr>
      <w:r>
        <w:rPr>
          <w:rFonts w:hint="eastAsia"/>
        </w:rPr>
        <w:t>辅助工具</w:t>
      </w:r>
    </w:p>
    <w:p w14:paraId="07542FDA">
      <w:pPr>
        <w:pStyle w:val="3"/>
      </w:pPr>
      <w:r>
        <w:rPr>
          <w:rFonts w:hint="eastAsia"/>
        </w:rPr>
        <w:t>1.提供辅助工具，可输入常用字符、特殊字符，满足多种格式的书写需求。</w:t>
      </w:r>
    </w:p>
    <w:p w14:paraId="14798E8B">
      <w:pPr>
        <w:pStyle w:val="3"/>
      </w:pPr>
      <w:r>
        <w:rPr>
          <w:rFonts w:hint="eastAsia"/>
        </w:rPr>
        <w:t>2.提供结构化模板辅助录入功能，也可自由文本录入。</w:t>
      </w:r>
    </w:p>
    <w:p w14:paraId="05848D0E">
      <w:pPr>
        <w:pStyle w:val="3"/>
      </w:pPr>
      <w:r>
        <w:rPr>
          <w:rFonts w:hint="eastAsia"/>
        </w:rPr>
        <w:t>3.可在病历记录中嵌入图片、表格、多媒体数据并进行编辑。</w:t>
      </w:r>
    </w:p>
    <w:p w14:paraId="071D0814">
      <w:pPr>
        <w:pStyle w:val="3"/>
      </w:pPr>
      <w:r>
        <w:rPr>
          <w:rFonts w:hint="eastAsia"/>
        </w:rPr>
        <w:t>4.常用术语词库辅助录入，术语词库包括症状名称、体征名称、疾病名称、药物名称、手术名称、操作名称等。</w:t>
      </w:r>
    </w:p>
    <w:p w14:paraId="1015258B">
      <w:pPr>
        <w:pStyle w:val="3"/>
      </w:pPr>
      <w:r>
        <w:rPr>
          <w:rFonts w:hint="eastAsia"/>
        </w:rPr>
        <w:t>5.提供智能录入功能，根据书写习惯，智能联系上下文书写病历。</w:t>
      </w:r>
    </w:p>
    <w:p w14:paraId="008426E7">
      <w:pPr>
        <w:pStyle w:val="7"/>
        <w:numPr>
          <w:ilvl w:val="4"/>
          <w:numId w:val="16"/>
        </w:numPr>
      </w:pPr>
      <w:r>
        <w:rPr>
          <w:rFonts w:hint="eastAsia"/>
        </w:rPr>
        <w:t>文档段管理</w:t>
      </w:r>
    </w:p>
    <w:p w14:paraId="28D7B84F">
      <w:pPr>
        <w:pStyle w:val="3"/>
      </w:pPr>
      <w:r>
        <w:rPr>
          <w:rFonts w:hint="eastAsia"/>
        </w:rPr>
        <w:t>对于医生常用的词组、文档片段、段落内容，支持维护成模板，在病历书写中可一键引用，便于书写和提高书写效率。文档段新增支持医生自由维护个人文档段或科室文档段。支持文档段关联病历结构化节点，在引用时可自动匹配结构化节点，准确引用文档段内容，填充节点信息。也支持对文档段进行修改、删除、目录排序等操作。</w:t>
      </w:r>
    </w:p>
    <w:p w14:paraId="4EF06DA9">
      <w:pPr>
        <w:pStyle w:val="7"/>
        <w:numPr>
          <w:ilvl w:val="4"/>
          <w:numId w:val="16"/>
        </w:numPr>
      </w:pPr>
      <w:r>
        <w:rPr>
          <w:rFonts w:hint="eastAsia"/>
        </w:rPr>
        <w:t>检查检验数据引用</w:t>
      </w:r>
    </w:p>
    <w:p w14:paraId="700FF154">
      <w:pPr>
        <w:pStyle w:val="3"/>
      </w:pPr>
      <w:r>
        <w:rPr>
          <w:rFonts w:hint="eastAsia"/>
        </w:rPr>
        <w:t>支持查看历次就诊的检查检验报告数据，对报告结果可进行全部或部分引用到病历中。</w:t>
      </w:r>
    </w:p>
    <w:p w14:paraId="7ACA0CE2">
      <w:pPr>
        <w:pStyle w:val="7"/>
        <w:numPr>
          <w:ilvl w:val="4"/>
          <w:numId w:val="16"/>
        </w:numPr>
      </w:pPr>
      <w:r>
        <w:rPr>
          <w:rFonts w:hint="eastAsia"/>
        </w:rPr>
        <w:t>历史数据引用</w:t>
      </w:r>
    </w:p>
    <w:p w14:paraId="6E24B100">
      <w:pPr>
        <w:pStyle w:val="3"/>
      </w:pPr>
      <w:r>
        <w:rPr>
          <w:rFonts w:hint="eastAsia"/>
        </w:rPr>
        <w:t>病历书写可查阅患者在本机构的历次就诊信息，包含个人身份识别的基本信息、检查检验信息、处方处置信息、既往病历信息。在查阅信息过程中，对于与本次诊疗相关的信息，可一键引用到当前病历，既浏览了病人的病史和生命体征，又快速完成了病历的书写。</w:t>
      </w:r>
    </w:p>
    <w:p w14:paraId="16D58B5E">
      <w:pPr>
        <w:pStyle w:val="7"/>
        <w:numPr>
          <w:ilvl w:val="4"/>
          <w:numId w:val="16"/>
        </w:numPr>
      </w:pPr>
      <w:r>
        <w:rPr>
          <w:rFonts w:hint="eastAsia"/>
        </w:rPr>
        <w:t>处方引用</w:t>
      </w:r>
    </w:p>
    <w:p w14:paraId="488836B7">
      <w:pPr>
        <w:pStyle w:val="3"/>
      </w:pPr>
      <w:r>
        <w:rPr>
          <w:rFonts w:hint="eastAsia"/>
        </w:rPr>
        <w:t>本次就诊开治的处方和处置记录，可设置引用处方的具体内容，支持一键引用至病历中，不需重复录入，完成病历用药和处置描述模块的快速填充。</w:t>
      </w:r>
    </w:p>
    <w:p w14:paraId="59F70393">
      <w:pPr>
        <w:pStyle w:val="7"/>
        <w:numPr>
          <w:ilvl w:val="4"/>
          <w:numId w:val="16"/>
        </w:numPr>
      </w:pPr>
      <w:r>
        <w:rPr>
          <w:rFonts w:hint="eastAsia"/>
        </w:rPr>
        <w:t>病历打印</w:t>
      </w:r>
    </w:p>
    <w:p w14:paraId="4500AEFE">
      <w:pPr>
        <w:pStyle w:val="3"/>
      </w:pPr>
      <w:r>
        <w:rPr>
          <w:rFonts w:hint="eastAsia"/>
        </w:rPr>
        <w:t>提供门诊电子病历诊间打印，支持门诊电子病历导出到本地。</w:t>
      </w:r>
    </w:p>
    <w:p w14:paraId="447945D0">
      <w:pPr>
        <w:pStyle w:val="7"/>
        <w:numPr>
          <w:ilvl w:val="4"/>
          <w:numId w:val="16"/>
        </w:numPr>
      </w:pPr>
      <w:r>
        <w:rPr>
          <w:rFonts w:hint="eastAsia"/>
        </w:rPr>
        <w:t>病历修改日志</w:t>
      </w:r>
    </w:p>
    <w:p w14:paraId="6986007B">
      <w:pPr>
        <w:pStyle w:val="3"/>
      </w:pPr>
      <w:r>
        <w:rPr>
          <w:rFonts w:hint="eastAsia"/>
        </w:rPr>
        <w:t>支持病历修改操作记录日志，对于病历书写修改痕迹，通过颜色和下划线在病历中高亮显示标识，也支持在病历详细结构化节点修改记录查看。</w:t>
      </w:r>
    </w:p>
    <w:p w14:paraId="65879E58">
      <w:pPr>
        <w:pStyle w:val="6"/>
        <w:numPr>
          <w:ilvl w:val="3"/>
          <w:numId w:val="16"/>
        </w:numPr>
      </w:pPr>
      <w:bookmarkStart w:id="515" w:name="_Toc104475706"/>
      <w:bookmarkEnd w:id="515"/>
      <w:bookmarkStart w:id="516" w:name="_Toc104552898"/>
      <w:bookmarkEnd w:id="516"/>
      <w:bookmarkStart w:id="517" w:name="_Toc104364784"/>
      <w:bookmarkEnd w:id="517"/>
      <w:bookmarkStart w:id="518" w:name="_Toc37665056"/>
      <w:bookmarkStart w:id="519" w:name="_Toc147920868"/>
      <w:r>
        <w:rPr>
          <w:rFonts w:hint="eastAsia"/>
        </w:rPr>
        <w:t>住院电子病历</w:t>
      </w:r>
      <w:bookmarkEnd w:id="518"/>
      <w:r>
        <w:rPr>
          <w:rFonts w:hint="eastAsia"/>
        </w:rPr>
        <w:t>系统</w:t>
      </w:r>
      <w:bookmarkEnd w:id="519"/>
    </w:p>
    <w:p w14:paraId="00607644">
      <w:pPr>
        <w:pStyle w:val="3"/>
      </w:pPr>
      <w:r>
        <w:rPr>
          <w:rFonts w:hint="eastAsia" w:asciiTheme="minorEastAsia" w:hAnsiTheme="minorEastAsia" w:eastAsiaTheme="minorEastAsia"/>
        </w:rPr>
        <w:t>具备支持以下功能：</w:t>
      </w:r>
    </w:p>
    <w:p w14:paraId="07322950">
      <w:pPr>
        <w:pStyle w:val="7"/>
        <w:numPr>
          <w:ilvl w:val="4"/>
          <w:numId w:val="16"/>
        </w:numPr>
      </w:pPr>
      <w:r>
        <w:rPr>
          <w:rFonts w:hint="eastAsia"/>
        </w:rPr>
        <w:t>病历编辑器</w:t>
      </w:r>
    </w:p>
    <w:p w14:paraId="5D9BDFB0">
      <w:pPr>
        <w:pStyle w:val="3"/>
      </w:pPr>
      <w:r>
        <w:rPr>
          <w:rFonts w:hint="eastAsia"/>
        </w:rPr>
        <w:t>提供电子病历编辑器，涵盖病历书写的基本文字编辑功能和病历专业书写工具，包含：文字字体颜色、段落、表格插入、图片插入、医学表达式、牙位图等功能。</w:t>
      </w:r>
    </w:p>
    <w:p w14:paraId="1F611825">
      <w:pPr>
        <w:pStyle w:val="3"/>
      </w:pPr>
      <w:r>
        <w:rPr>
          <w:rFonts w:hint="eastAsia"/>
        </w:rPr>
        <w:t>编辑器打印支持打印预览、按页数打印、双面打印、按指定区域打印、隔页打、续打等功能。</w:t>
      </w:r>
    </w:p>
    <w:p w14:paraId="15693CA8">
      <w:pPr>
        <w:pStyle w:val="7"/>
        <w:numPr>
          <w:ilvl w:val="4"/>
          <w:numId w:val="16"/>
        </w:numPr>
      </w:pPr>
      <w:r>
        <w:rPr>
          <w:rFonts w:hint="eastAsia"/>
        </w:rPr>
        <w:t>病历创建</w:t>
      </w:r>
    </w:p>
    <w:p w14:paraId="6DF0796B">
      <w:pPr>
        <w:pStyle w:val="3"/>
      </w:pPr>
      <w:r>
        <w:rPr>
          <w:rFonts w:hint="eastAsia"/>
        </w:rPr>
        <w:t>支持按照指定病历类型使用系统提供的标准病历模板或者自定的病历模板进行创建病历。</w:t>
      </w:r>
    </w:p>
    <w:p w14:paraId="7DD9CAAE">
      <w:pPr>
        <w:pStyle w:val="3"/>
      </w:pPr>
      <w:r>
        <w:rPr>
          <w:rFonts w:hint="eastAsia"/>
        </w:rPr>
        <w:t>支持针对手术病历可以关联具体的手术信息进行创建，相关手术的所有记录都在对应手术下。</w:t>
      </w:r>
    </w:p>
    <w:p w14:paraId="512691DE">
      <w:pPr>
        <w:pStyle w:val="7"/>
        <w:numPr>
          <w:ilvl w:val="4"/>
          <w:numId w:val="16"/>
        </w:numPr>
      </w:pPr>
      <w:r>
        <w:rPr>
          <w:rFonts w:hint="eastAsia"/>
        </w:rPr>
        <w:t>病历结构化</w:t>
      </w:r>
    </w:p>
    <w:p w14:paraId="610861A2">
      <w:pPr>
        <w:pStyle w:val="3"/>
      </w:pPr>
      <w:r>
        <w:rPr>
          <w:rFonts w:hint="eastAsia"/>
        </w:rPr>
        <w:t>支持病历结构化书写，提供文本、数字、日期、表格、下拉单选、下拉多选、级联录入、联想段落录入等多种录入方式。</w:t>
      </w:r>
    </w:p>
    <w:p w14:paraId="7DAFBC2F">
      <w:pPr>
        <w:pStyle w:val="3"/>
      </w:pPr>
      <w:r>
        <w:rPr>
          <w:rFonts w:hint="eastAsia"/>
        </w:rPr>
        <w:t>支持病历数据按照数据元进行结构化解析，将病历填写的数据（例如：主诉、现病史等）存储到指定表和字段，方便数据获取查询。</w:t>
      </w:r>
    </w:p>
    <w:p w14:paraId="79B0C0D9">
      <w:pPr>
        <w:pStyle w:val="3"/>
      </w:pPr>
      <w:r>
        <w:rPr>
          <w:rFonts w:hint="eastAsia"/>
        </w:rPr>
        <w:t>能够根据病历模板上需要填写的信息，自动从病人临床信息和其他结构化病历已存储信息获取填充到病历上，无需医生手工填写，例如：病人基本信息、诊断信息、主诉、现病史等。</w:t>
      </w:r>
    </w:p>
    <w:p w14:paraId="56C27E24">
      <w:pPr>
        <w:pStyle w:val="7"/>
        <w:numPr>
          <w:ilvl w:val="4"/>
          <w:numId w:val="16"/>
        </w:numPr>
      </w:pPr>
      <w:r>
        <w:rPr>
          <w:rFonts w:hint="eastAsia"/>
        </w:rPr>
        <w:t>病程记录</w:t>
      </w:r>
    </w:p>
    <w:p w14:paraId="45B5DBA9">
      <w:pPr>
        <w:pStyle w:val="3"/>
      </w:pPr>
      <w:r>
        <w:rPr>
          <w:rFonts w:hint="eastAsia"/>
        </w:rPr>
        <w:t>支持病程记录联合浏览，将所有病程合并成一份文档进行浏览和打印，联合浏览时支持转科患者的病程记录题头科室信息根据实际书写时科室自动切换显示，支持转床患者的病程记录题头床位信息自动根据实际书写时床位自动切换显示。</w:t>
      </w:r>
    </w:p>
    <w:p w14:paraId="648E1CCB">
      <w:pPr>
        <w:pStyle w:val="3"/>
      </w:pPr>
      <w:r>
        <w:rPr>
          <w:rFonts w:hint="eastAsia"/>
        </w:rPr>
        <w:t>支持书写病程时能够方便浏览其他病程并引用，能够修改病程记录时间。</w:t>
      </w:r>
    </w:p>
    <w:p w14:paraId="3478B122">
      <w:pPr>
        <w:pStyle w:val="3"/>
      </w:pPr>
      <w:r>
        <w:rPr>
          <w:rFonts w:hint="eastAsia"/>
        </w:rPr>
        <w:t>支持病程默认按照病程记录时间升序进行列表展示，用户可调整病历列表展示顺序。</w:t>
      </w:r>
    </w:p>
    <w:p w14:paraId="6AF7D76F">
      <w:pPr>
        <w:pStyle w:val="3"/>
      </w:pPr>
      <w:r>
        <w:rPr>
          <w:rFonts w:hint="eastAsia"/>
        </w:rPr>
        <w:t>支持记录病程记录打印的最后位置，下次打印时在前次位置后续打。</w:t>
      </w:r>
    </w:p>
    <w:p w14:paraId="599DBCD5">
      <w:pPr>
        <w:pStyle w:val="7"/>
        <w:numPr>
          <w:ilvl w:val="4"/>
          <w:numId w:val="16"/>
        </w:numPr>
      </w:pPr>
      <w:r>
        <w:rPr>
          <w:rFonts w:hint="eastAsia"/>
        </w:rPr>
        <w:t>诊断录入</w:t>
      </w:r>
    </w:p>
    <w:p w14:paraId="25D61D34">
      <w:pPr>
        <w:pStyle w:val="3"/>
      </w:pPr>
      <w:r>
        <w:rPr>
          <w:rFonts w:hint="eastAsia"/>
        </w:rPr>
        <w:t>支持诊断独立录入，录入后可以将诊断信息同步到病历里需要写诊断的节点。</w:t>
      </w:r>
    </w:p>
    <w:p w14:paraId="04134A50">
      <w:pPr>
        <w:pStyle w:val="3"/>
      </w:pPr>
      <w:r>
        <w:rPr>
          <w:rFonts w:hint="eastAsia"/>
        </w:rPr>
        <w:t>支持录入和查看患者住院期间的所有诊断，可直接引用患者已录入诊断，支持父子诊断录入。</w:t>
      </w:r>
    </w:p>
    <w:p w14:paraId="01C4586D">
      <w:pPr>
        <w:pStyle w:val="3"/>
      </w:pPr>
      <w:r>
        <w:rPr>
          <w:rFonts w:hint="eastAsia"/>
        </w:rPr>
        <w:t>可查询患者既往住院录入的诊断并支持引用诊断，引用时支持诊断编码有效性校验，对失效诊断编码进行提示。</w:t>
      </w:r>
    </w:p>
    <w:p w14:paraId="160CFB30">
      <w:pPr>
        <w:pStyle w:val="3"/>
      </w:pPr>
      <w:r>
        <w:rPr>
          <w:rFonts w:hint="eastAsia"/>
        </w:rPr>
        <w:t>支持录入诊断后对符合临床路径患者进行入路径提示。</w:t>
      </w:r>
    </w:p>
    <w:p w14:paraId="2CD70FAD">
      <w:pPr>
        <w:pStyle w:val="7"/>
        <w:numPr>
          <w:ilvl w:val="4"/>
          <w:numId w:val="16"/>
        </w:numPr>
      </w:pPr>
      <w:r>
        <w:rPr>
          <w:rFonts w:hint="eastAsia"/>
        </w:rPr>
        <w:t>病历痕迹记录</w:t>
      </w:r>
    </w:p>
    <w:p w14:paraId="07BE5DCF">
      <w:pPr>
        <w:pStyle w:val="3"/>
      </w:pPr>
      <w:r>
        <w:rPr>
          <w:rFonts w:hint="eastAsia"/>
        </w:rPr>
        <w:t>能够记录病历操作人日志，包含创建人、创建时间、修改人、修改时间等。</w:t>
      </w:r>
    </w:p>
    <w:p w14:paraId="1596F36C">
      <w:pPr>
        <w:pStyle w:val="3"/>
      </w:pPr>
      <w:r>
        <w:rPr>
          <w:rFonts w:hint="eastAsia"/>
        </w:rPr>
        <w:t>能够在病历上按不同颜色标识出不同用户的修改痕迹，例如标识删除的文字、新增的文字，提供痕迹列表总览病历内容所有修改记录，支持根据列表定位到病历修改点。</w:t>
      </w:r>
    </w:p>
    <w:p w14:paraId="138753C8">
      <w:pPr>
        <w:pStyle w:val="7"/>
        <w:numPr>
          <w:ilvl w:val="4"/>
          <w:numId w:val="16"/>
        </w:numPr>
      </w:pPr>
      <w:r>
        <w:rPr>
          <w:rFonts w:hint="eastAsia"/>
        </w:rPr>
        <w:t>病历复制粘贴权限控制</w:t>
      </w:r>
    </w:p>
    <w:p w14:paraId="65A4A054">
      <w:pPr>
        <w:pStyle w:val="3"/>
      </w:pPr>
      <w:r>
        <w:rPr>
          <w:rFonts w:hint="eastAsia"/>
        </w:rPr>
        <w:t>支持根据医院要求设置不同等级的粘贴权限，包含：是否允许从H</w:t>
      </w:r>
      <w:r>
        <w:t>IS</w:t>
      </w:r>
      <w:r>
        <w:rPr>
          <w:rFonts w:hint="eastAsia"/>
        </w:rPr>
        <w:t>系统外部复制粘贴，是否允许从其他患者的病历复制粘贴，是否允许从该患者的其他病历复制粘贴，支持以上权限叠加生效。</w:t>
      </w:r>
    </w:p>
    <w:p w14:paraId="60D137A9">
      <w:pPr>
        <w:pStyle w:val="7"/>
        <w:numPr>
          <w:ilvl w:val="4"/>
          <w:numId w:val="16"/>
        </w:numPr>
      </w:pPr>
      <w:r>
        <w:rPr>
          <w:rFonts w:hint="eastAsia"/>
        </w:rPr>
        <w:t>病历签名</w:t>
      </w:r>
    </w:p>
    <w:p w14:paraId="45A9A51C">
      <w:pPr>
        <w:pStyle w:val="3"/>
      </w:pPr>
      <w:r>
        <w:rPr>
          <w:rFonts w:hint="eastAsia"/>
        </w:rPr>
        <w:t>提供住院病历记录双签名功能，当由实习医师、试用期医务人员书写病历时，应当经过本医疗机构注册的医师审阅、修改，并保留书写者与审阅者的双签名。</w:t>
      </w:r>
    </w:p>
    <w:p w14:paraId="519FFFBD">
      <w:pPr>
        <w:pStyle w:val="3"/>
      </w:pPr>
      <w:r>
        <w:rPr>
          <w:rFonts w:hint="eastAsia"/>
        </w:rPr>
        <w:t>支持与数字签名厂商进行对接后进行病历数字签名，可插入一个或者多个用户的签名图片，可查看数字签名的时间戳等信息。</w:t>
      </w:r>
    </w:p>
    <w:p w14:paraId="31705523">
      <w:pPr>
        <w:pStyle w:val="7"/>
        <w:numPr>
          <w:ilvl w:val="4"/>
          <w:numId w:val="16"/>
        </w:numPr>
      </w:pPr>
      <w:r>
        <w:rPr>
          <w:rFonts w:hint="eastAsia"/>
        </w:rPr>
        <w:t>病历独占</w:t>
      </w:r>
    </w:p>
    <w:p w14:paraId="0A7DD9F1">
      <w:pPr>
        <w:pStyle w:val="3"/>
      </w:pPr>
      <w:r>
        <w:rPr>
          <w:rFonts w:hint="eastAsia"/>
        </w:rPr>
        <w:t>支持患者的同一份病历在多个客户端同时打开，在多人都能够打开编辑该病历时，按照打开时间先后顺序进行编辑权限设置，第一个打开的人为编辑，后面打开的人为只读，并提示用户由谁在哪台电脑上在编辑病历。</w:t>
      </w:r>
    </w:p>
    <w:p w14:paraId="03C974D2">
      <w:pPr>
        <w:pStyle w:val="7"/>
        <w:numPr>
          <w:ilvl w:val="4"/>
          <w:numId w:val="16"/>
        </w:numPr>
      </w:pPr>
      <w:r>
        <w:rPr>
          <w:rFonts w:hint="eastAsia"/>
        </w:rPr>
        <w:t>病历异常恢复</w:t>
      </w:r>
    </w:p>
    <w:p w14:paraId="2356CDBD">
      <w:pPr>
        <w:pStyle w:val="41"/>
        <w:ind w:left="0" w:leftChars="0" w:firstLine="480" w:firstLineChars="0"/>
        <w:rPr>
          <w:rFonts w:ascii="宋体" w:hAnsi="宋体"/>
          <w:szCs w:val="24"/>
          <w:lang w:bidi="ar"/>
        </w:rPr>
      </w:pPr>
      <w:r>
        <w:rPr>
          <w:rFonts w:hint="eastAsia" w:ascii="宋体" w:hAnsi="宋体"/>
          <w:szCs w:val="24"/>
          <w:lang w:bidi="ar"/>
        </w:rPr>
        <w:t>支持针对在病历编辑过程中，对未进行保存的病历每3</w:t>
      </w:r>
      <w:r>
        <w:rPr>
          <w:rFonts w:ascii="宋体" w:hAnsi="宋体"/>
          <w:szCs w:val="24"/>
          <w:lang w:bidi="ar"/>
        </w:rPr>
        <w:t>0</w:t>
      </w:r>
      <w:r>
        <w:rPr>
          <w:rFonts w:hint="eastAsia" w:ascii="宋体" w:hAnsi="宋体"/>
          <w:szCs w:val="24"/>
          <w:lang w:bidi="ar"/>
        </w:rPr>
        <w:t>秒进行自动存储在本地sqlit数据库，病历保存成功后缓存文件自动删除。</w:t>
      </w:r>
    </w:p>
    <w:p w14:paraId="5E1A7A84">
      <w:pPr>
        <w:pStyle w:val="3"/>
        <w:rPr>
          <w:lang w:bidi="ar"/>
        </w:rPr>
      </w:pPr>
      <w:r>
        <w:rPr>
          <w:rFonts w:hint="eastAsia"/>
          <w:lang w:bidi="ar"/>
        </w:rPr>
        <w:t>支持当出现网络故障、操作系统故障等异常情况后重新打开该病历时，系统可自动侦测是否存在缓存文件，当有缓存文件用户可通过缓存备份进行恢复病历文档</w:t>
      </w:r>
      <w:r>
        <w:rPr>
          <w:rFonts w:hint="eastAsia"/>
        </w:rPr>
        <w:t>。</w:t>
      </w:r>
    </w:p>
    <w:p w14:paraId="7390C6FC">
      <w:pPr>
        <w:pStyle w:val="7"/>
        <w:numPr>
          <w:ilvl w:val="4"/>
          <w:numId w:val="16"/>
        </w:numPr>
      </w:pPr>
      <w:r>
        <w:rPr>
          <w:rFonts w:hint="eastAsia"/>
        </w:rPr>
        <w:t>文档段管理</w:t>
      </w:r>
    </w:p>
    <w:p w14:paraId="785D6831">
      <w:pPr>
        <w:pStyle w:val="3"/>
      </w:pPr>
      <w:r>
        <w:rPr>
          <w:rFonts w:hint="eastAsia"/>
        </w:rPr>
        <w:t>支持医生自由维护文档段类别与内容，可设置使用范围为个人文或科室，支持将所有文档段共享到其他科室使用。</w:t>
      </w:r>
    </w:p>
    <w:p w14:paraId="024294FC">
      <w:pPr>
        <w:pStyle w:val="3"/>
      </w:pPr>
      <w:r>
        <w:rPr>
          <w:rFonts w:hint="eastAsia"/>
        </w:rPr>
        <w:t>文档段支持插入数据元进行结构化录入。</w:t>
      </w:r>
    </w:p>
    <w:p w14:paraId="27BBF8D2">
      <w:pPr>
        <w:pStyle w:val="3"/>
      </w:pPr>
      <w:r>
        <w:rPr>
          <w:rFonts w:hint="eastAsia"/>
        </w:rPr>
        <w:t>文档段支持关联病历节点，配置后可自动引用到病历对应节点内。</w:t>
      </w:r>
    </w:p>
    <w:p w14:paraId="2150B25F">
      <w:pPr>
        <w:pStyle w:val="7"/>
        <w:numPr>
          <w:ilvl w:val="4"/>
          <w:numId w:val="16"/>
        </w:numPr>
      </w:pPr>
      <w:r>
        <w:rPr>
          <w:rFonts w:hint="eastAsia"/>
        </w:rPr>
        <w:t>数据查看与引用</w:t>
      </w:r>
    </w:p>
    <w:p w14:paraId="5006A0D9">
      <w:pPr>
        <w:pStyle w:val="3"/>
      </w:pPr>
      <w:r>
        <w:rPr>
          <w:rFonts w:hint="eastAsia"/>
        </w:rPr>
        <w:t>支持查看和引用用户个人以及科室、共享到科室的文档段内容。</w:t>
      </w:r>
    </w:p>
    <w:p w14:paraId="6764D0B0">
      <w:pPr>
        <w:pStyle w:val="3"/>
      </w:pPr>
      <w:r>
        <w:rPr>
          <w:rFonts w:hint="eastAsia"/>
        </w:rPr>
        <w:t>支持查看和引用患者本次住院以及既往住院和门诊的检验结果，可快速过滤检验异常结果，可配置检验结果引用格式，在引用时按照指定格式引用，支持多个结果批量引用。</w:t>
      </w:r>
    </w:p>
    <w:p w14:paraId="67BEA443">
      <w:pPr>
        <w:pStyle w:val="3"/>
      </w:pPr>
      <w:r>
        <w:rPr>
          <w:rFonts w:hint="eastAsia"/>
        </w:rPr>
        <w:t>支持查看和引用患者本次住院以及既往住院和门诊的检查结果，可查看检查图像报告，支持引用检查结果说明。</w:t>
      </w:r>
    </w:p>
    <w:p w14:paraId="5A51E822">
      <w:pPr>
        <w:pStyle w:val="3"/>
      </w:pPr>
      <w:r>
        <w:rPr>
          <w:rFonts w:hint="eastAsia"/>
        </w:rPr>
        <w:t>支持按时间和医嘱状态查看和引用患者医嘱记录内容。</w:t>
      </w:r>
    </w:p>
    <w:p w14:paraId="753502B0">
      <w:pPr>
        <w:pStyle w:val="3"/>
      </w:pPr>
      <w:r>
        <w:rPr>
          <w:rFonts w:hint="eastAsia"/>
        </w:rPr>
        <w:t>支持按时间查看和引用患者护理记录结构化内容。</w:t>
      </w:r>
    </w:p>
    <w:p w14:paraId="340C53F7">
      <w:pPr>
        <w:pStyle w:val="3"/>
      </w:pPr>
      <w:r>
        <w:rPr>
          <w:rFonts w:hint="eastAsia"/>
        </w:rPr>
        <w:t>支持查看和引用患者本次住院和既往住院的所有类型的诊断内容。</w:t>
      </w:r>
    </w:p>
    <w:p w14:paraId="2873EFB7">
      <w:pPr>
        <w:pStyle w:val="7"/>
        <w:numPr>
          <w:ilvl w:val="4"/>
          <w:numId w:val="16"/>
        </w:numPr>
      </w:pPr>
      <w:r>
        <w:rPr>
          <w:rFonts w:hint="eastAsia"/>
        </w:rPr>
        <w:t>病历权限</w:t>
      </w:r>
    </w:p>
    <w:p w14:paraId="1B002751">
      <w:pPr>
        <w:pStyle w:val="3"/>
      </w:pPr>
      <w:r>
        <w:rPr>
          <w:rFonts w:hint="eastAsia"/>
        </w:rPr>
        <w:t>支持按照角色创建对应病历，例如医生可创建医生病历，护士可创建护理病历。</w:t>
      </w:r>
    </w:p>
    <w:p w14:paraId="74F7C328">
      <w:pPr>
        <w:pStyle w:val="3"/>
      </w:pPr>
      <w:r>
        <w:rPr>
          <w:rFonts w:hint="eastAsia"/>
        </w:rPr>
        <w:t>支持病历里内容按角色书写，医护共同书写病历可区分医护书写区域，非对应角色可写区域打开为只读。</w:t>
      </w:r>
    </w:p>
    <w:p w14:paraId="24D23AFE">
      <w:pPr>
        <w:pStyle w:val="3"/>
      </w:pPr>
      <w:r>
        <w:rPr>
          <w:rFonts w:hint="eastAsia"/>
        </w:rPr>
        <w:t>支持对病历里患者的个人信息进行保护，非主管医生或者接管患者的医疗组人员打开病历时，患者的个人信息进行特殊处理。</w:t>
      </w:r>
    </w:p>
    <w:p w14:paraId="6098C3EE">
      <w:pPr>
        <w:pStyle w:val="3"/>
      </w:pPr>
      <w:r>
        <w:rPr>
          <w:rFonts w:hint="eastAsia"/>
        </w:rPr>
        <w:t>提供上级医师审签病历的功能，允许上级医师修改并修改下级医师创建的病历记录，上级医生修改后下级医生不可再修改病历。</w:t>
      </w:r>
    </w:p>
    <w:p w14:paraId="559071F1">
      <w:pPr>
        <w:pStyle w:val="3"/>
      </w:pPr>
      <w:r>
        <w:rPr>
          <w:rFonts w:hint="eastAsia"/>
        </w:rPr>
        <w:t>支持配置患者转科后哪些病历可续写。</w:t>
      </w:r>
    </w:p>
    <w:p w14:paraId="0E9470FA">
      <w:pPr>
        <w:pStyle w:val="7"/>
        <w:numPr>
          <w:ilvl w:val="4"/>
          <w:numId w:val="16"/>
        </w:numPr>
      </w:pPr>
      <w:r>
        <w:rPr>
          <w:rFonts w:hint="eastAsia"/>
        </w:rPr>
        <w:t>病历内容质控</w:t>
      </w:r>
    </w:p>
    <w:p w14:paraId="7DBB4190">
      <w:pPr>
        <w:pStyle w:val="3"/>
      </w:pPr>
      <w:r>
        <w:rPr>
          <w:rFonts w:hint="eastAsia"/>
        </w:rPr>
        <w:t>提供病历质控自查功能，医师可通过病历质控自查功能对病历缺陷进行提醒。</w:t>
      </w:r>
    </w:p>
    <w:p w14:paraId="3B014DEF">
      <w:pPr>
        <w:pStyle w:val="3"/>
      </w:pPr>
      <w:r>
        <w:rPr>
          <w:rFonts w:hint="eastAsia"/>
        </w:rPr>
        <w:t>提供病历保存质控提醒，针对病历中的重要缺陷，支持医生病历保存时的质控提醒，可根据管理要求设置为“仅提醒可保存”或“不能保存”。</w:t>
      </w:r>
    </w:p>
    <w:p w14:paraId="452167E9">
      <w:pPr>
        <w:pStyle w:val="3"/>
      </w:pPr>
      <w:r>
        <w:rPr>
          <w:rFonts w:hint="eastAsia"/>
        </w:rPr>
        <w:t>提供医师病历自评功能。病人出院后，可按照病案质量要求进行评分，支持自动评分和手动评分，并自动计算和显示病历质量的等级情况。</w:t>
      </w:r>
    </w:p>
    <w:p w14:paraId="5D379989">
      <w:pPr>
        <w:pStyle w:val="3"/>
      </w:pPr>
      <w:r>
        <w:rPr>
          <w:rFonts w:hint="eastAsia"/>
        </w:rPr>
        <w:t>提供病历质控消息应用。针对病历质控问题，能够通过消息提醒方式实时通知相关医师。</w:t>
      </w:r>
    </w:p>
    <w:p w14:paraId="24E92DCF">
      <w:pPr>
        <w:pStyle w:val="3"/>
      </w:pPr>
      <w:r>
        <w:rPr>
          <w:rFonts w:hint="eastAsia"/>
        </w:rPr>
        <w:t>提供质控缺陷智能定位功能。针对医师收到的病历质控消息，可直接点击质控消息并定位到缺陷位置，同时可查看对病历缺陷内容的评价和要求。</w:t>
      </w:r>
    </w:p>
    <w:p w14:paraId="1BB09A3D">
      <w:pPr>
        <w:pStyle w:val="7"/>
        <w:numPr>
          <w:ilvl w:val="4"/>
          <w:numId w:val="16"/>
        </w:numPr>
      </w:pPr>
      <w:r>
        <w:rPr>
          <w:rFonts w:hint="eastAsia"/>
        </w:rPr>
        <w:t>病历传染病上报</w:t>
      </w:r>
    </w:p>
    <w:p w14:paraId="5D23D29B">
      <w:pPr>
        <w:pStyle w:val="3"/>
      </w:pPr>
      <w:r>
        <w:rPr>
          <w:rFonts w:hint="eastAsia"/>
        </w:rPr>
        <w:t>提供电子传染病报告填写和上报的功能，根据患者诊断自动触发上报录入界面。</w:t>
      </w:r>
    </w:p>
    <w:p w14:paraId="1977A9F8">
      <w:pPr>
        <w:pStyle w:val="7"/>
        <w:numPr>
          <w:ilvl w:val="4"/>
          <w:numId w:val="16"/>
        </w:numPr>
      </w:pPr>
      <w:r>
        <w:rPr>
          <w:rFonts w:hint="eastAsia"/>
        </w:rPr>
        <w:t>病历证明</w:t>
      </w:r>
    </w:p>
    <w:p w14:paraId="5B1CEB94">
      <w:pPr>
        <w:pStyle w:val="3"/>
      </w:pPr>
      <w:r>
        <w:rPr>
          <w:rFonts w:hint="eastAsia"/>
        </w:rPr>
        <w:t>提供电子死亡医学证明填写和上报功能，也提供疾病证明等其他证明材料。</w:t>
      </w:r>
    </w:p>
    <w:p w14:paraId="0E8E79CC">
      <w:pPr>
        <w:pStyle w:val="7"/>
        <w:numPr>
          <w:ilvl w:val="4"/>
          <w:numId w:val="16"/>
        </w:numPr>
      </w:pPr>
      <w:r>
        <w:rPr>
          <w:rFonts w:hint="eastAsia"/>
        </w:rPr>
        <w:t>交接班病历</w:t>
      </w:r>
    </w:p>
    <w:p w14:paraId="0C082814">
      <w:pPr>
        <w:pStyle w:val="3"/>
      </w:pPr>
      <w:r>
        <w:rPr>
          <w:rFonts w:hint="eastAsia"/>
        </w:rPr>
        <w:t>提供住院医师交接班记录功能。可根据模板自动生成交接班记录，内容可包括科室患者概况，新入院、病危、手术、特殊检查等患者的基本信息和诊疗情况，再由交接班医师签名存档。</w:t>
      </w:r>
    </w:p>
    <w:p w14:paraId="7642B0C9">
      <w:pPr>
        <w:pStyle w:val="3"/>
        <w:ind w:firstLine="440"/>
      </w:pPr>
      <w:r>
        <w:rPr>
          <w:rFonts w:hint="eastAsia" w:cs="宋体"/>
          <w:color w:val="000000"/>
          <w:kern w:val="0"/>
          <w:sz w:val="22"/>
          <w:szCs w:val="22"/>
          <w:lang w:bidi="ar"/>
        </w:rPr>
        <w:t>▲</w:t>
      </w:r>
      <w:r>
        <w:t>提供实习医生、规培医生帐号辅助书写病历类型的权限管控功能。</w:t>
      </w:r>
      <w:r>
        <w:rPr>
          <w:rFonts w:hint="eastAsia"/>
        </w:rPr>
        <w:t>（提供系统截图证明）</w:t>
      </w:r>
    </w:p>
    <w:p w14:paraId="5C6FA07E">
      <w:pPr>
        <w:pStyle w:val="6"/>
        <w:numPr>
          <w:ilvl w:val="3"/>
          <w:numId w:val="16"/>
        </w:numPr>
      </w:pPr>
      <w:bookmarkStart w:id="520" w:name="_Toc147920869"/>
      <w:r>
        <w:rPr>
          <w:rFonts w:hint="eastAsia"/>
        </w:rPr>
        <w:t>护理电子病历系统</w:t>
      </w:r>
      <w:bookmarkEnd w:id="520"/>
    </w:p>
    <w:p w14:paraId="602348C9">
      <w:pPr>
        <w:pStyle w:val="134"/>
      </w:pPr>
      <w:r>
        <w:rPr>
          <w:rFonts w:hint="eastAsia"/>
        </w:rPr>
        <w:t>协助护理人员对患者的病情观察和实施护理措施的记载，包括病人、体温单、医嘱单、护理入院录、首次护程录、一般患者护理记录、特殊患者护理记录等项目，并能够根据相应记录生成各类图表。</w:t>
      </w:r>
      <w:r>
        <w:rPr>
          <w:rFonts w:hint="eastAsia" w:asciiTheme="minorEastAsia" w:hAnsiTheme="minorEastAsia" w:eastAsiaTheme="minorEastAsia"/>
        </w:rPr>
        <w:t>具备支持以下功能：</w:t>
      </w:r>
    </w:p>
    <w:p w14:paraId="68C7D77F">
      <w:pPr>
        <w:pStyle w:val="7"/>
        <w:numPr>
          <w:ilvl w:val="4"/>
          <w:numId w:val="16"/>
        </w:numPr>
      </w:pPr>
      <w:r>
        <w:rPr>
          <w:rFonts w:hint="eastAsia"/>
        </w:rPr>
        <w:t>护理文书</w:t>
      </w:r>
    </w:p>
    <w:p w14:paraId="51592FD2">
      <w:pPr>
        <w:pStyle w:val="8"/>
        <w:numPr>
          <w:ilvl w:val="5"/>
          <w:numId w:val="16"/>
        </w:numPr>
      </w:pPr>
      <w:r>
        <w:rPr>
          <w:rFonts w:hint="eastAsia"/>
        </w:rPr>
        <w:t>护理记录</w:t>
      </w:r>
    </w:p>
    <w:p w14:paraId="52C74E54">
      <w:pPr>
        <w:pStyle w:val="134"/>
      </w:pPr>
      <w:r>
        <w:rPr>
          <w:rFonts w:hint="eastAsia"/>
        </w:rPr>
        <w:t>支持根据科室需求选择不同护理记录模板录入，录入时支持从体温单、医嘱、历史护理记录、检查检验报告等进行引用录入，可使用</w:t>
      </w:r>
      <w:r>
        <w:rPr>
          <w:rFonts w:hint="eastAsia"/>
          <w:color w:val="000000"/>
        </w:rPr>
        <w:t>辅助输入及智能联想书写方式快速录入病情措施，支持指定日期范围和全部打印，持根据时间范围进行入出量统计和自动插入到护理记录里。</w:t>
      </w:r>
    </w:p>
    <w:p w14:paraId="30BF2821">
      <w:pPr>
        <w:pStyle w:val="8"/>
        <w:numPr>
          <w:ilvl w:val="5"/>
          <w:numId w:val="16"/>
        </w:numPr>
      </w:pPr>
      <w:r>
        <w:rPr>
          <w:rFonts w:hint="eastAsia"/>
        </w:rPr>
        <w:t>体征录入</w:t>
      </w:r>
    </w:p>
    <w:p w14:paraId="0289046D">
      <w:pPr>
        <w:pStyle w:val="3"/>
      </w:pPr>
      <w:r>
        <w:rPr>
          <w:rFonts w:hint="eastAsia"/>
        </w:rPr>
        <w:t>1</w:t>
      </w:r>
      <w:r>
        <w:t>.</w:t>
      </w:r>
      <w:r>
        <w:rPr>
          <w:rFonts w:hint="eastAsia"/>
        </w:rPr>
        <w:t>支持所见即所得录入体征信息，录入体征信息时同时自动生成体温单，可录入患者各项体征、出入量等护理信息以及手术、过敏史等其他患者临床信息。</w:t>
      </w:r>
    </w:p>
    <w:p w14:paraId="1481D2EA">
      <w:pPr>
        <w:pStyle w:val="3"/>
      </w:pPr>
      <w:r>
        <w:rPr>
          <w:rFonts w:hint="eastAsia"/>
        </w:rPr>
        <w:t>2</w:t>
      </w:r>
      <w:r>
        <w:t>.</w:t>
      </w:r>
      <w:r>
        <w:rPr>
          <w:rFonts w:hint="eastAsia"/>
        </w:rPr>
        <w:t>支持预先定义好的验证规则，对患者体征(体温、血压、呼吸)等进行验证，对于不合理或者错误的录入，自动给出验证结果并提示护士。</w:t>
      </w:r>
    </w:p>
    <w:p w14:paraId="17810584">
      <w:pPr>
        <w:pStyle w:val="3"/>
      </w:pPr>
      <w:r>
        <w:rPr>
          <w:rFonts w:hint="eastAsia"/>
        </w:rPr>
        <w:t>3</w:t>
      </w:r>
      <w:r>
        <w:t>.</w:t>
      </w:r>
      <w:r>
        <w:rPr>
          <w:rFonts w:hint="eastAsia"/>
        </w:rPr>
        <w:t>可根据科室需求自定义配置体征录入项目。</w:t>
      </w:r>
    </w:p>
    <w:p w14:paraId="70C4B4FB">
      <w:pPr>
        <w:pStyle w:val="3"/>
      </w:pPr>
      <w:r>
        <w:rPr>
          <w:rFonts w:hint="eastAsia"/>
        </w:rPr>
        <w:t>4</w:t>
      </w:r>
      <w:r>
        <w:t>.</w:t>
      </w:r>
      <w:r>
        <w:rPr>
          <w:rFonts w:hint="eastAsia"/>
        </w:rPr>
        <w:t>支持在一个界面同时批量录入科室患者的体征信息，可进行全键盘操作快速录入，支持母婴分开进行批量录入体征信息。</w:t>
      </w:r>
    </w:p>
    <w:p w14:paraId="69573407">
      <w:pPr>
        <w:pStyle w:val="8"/>
        <w:numPr>
          <w:ilvl w:val="5"/>
          <w:numId w:val="16"/>
        </w:numPr>
      </w:pPr>
      <w:r>
        <w:rPr>
          <w:rFonts w:hint="eastAsia"/>
        </w:rPr>
        <w:t>护理评估</w:t>
      </w:r>
    </w:p>
    <w:p w14:paraId="42EDEA77">
      <w:pPr>
        <w:pStyle w:val="3"/>
      </w:pPr>
      <w:r>
        <w:rPr>
          <w:rFonts w:hint="eastAsia"/>
        </w:rPr>
        <w:t>1</w:t>
      </w:r>
      <w:r>
        <w:t>.</w:t>
      </w:r>
      <w:r>
        <w:rPr>
          <w:rFonts w:hint="eastAsia"/>
        </w:rPr>
        <w:t>支持创建各类结构化护理相关评估单，评估单内容支持自动以格式以及项目。</w:t>
      </w:r>
    </w:p>
    <w:p w14:paraId="2D7FEBBC">
      <w:pPr>
        <w:pStyle w:val="3"/>
      </w:pPr>
      <w:r>
        <w:rPr>
          <w:rFonts w:hint="eastAsia"/>
        </w:rPr>
        <w:t>2</w:t>
      </w:r>
      <w:r>
        <w:t>.</w:t>
      </w:r>
      <w:r>
        <w:rPr>
          <w:rFonts w:hint="eastAsia"/>
        </w:rPr>
        <w:t>护理评估能够自动计算分数，评估异常可触发护理决策进行提，评估分数能引用到相关病历。</w:t>
      </w:r>
    </w:p>
    <w:p w14:paraId="5AB3B360">
      <w:pPr>
        <w:pStyle w:val="3"/>
      </w:pPr>
      <w:r>
        <w:rPr>
          <w:rFonts w:hint="eastAsia"/>
        </w:rPr>
        <w:t>3</w:t>
      </w:r>
      <w:r>
        <w:t>.</w:t>
      </w:r>
      <w:r>
        <w:rPr>
          <w:rFonts w:hint="eastAsia"/>
        </w:rPr>
        <w:t>评估内容可生成趋势图便于了解病人病情变化以及护理效果。</w:t>
      </w:r>
    </w:p>
    <w:p w14:paraId="16F24871">
      <w:pPr>
        <w:pStyle w:val="3"/>
      </w:pPr>
      <w:r>
        <w:rPr>
          <w:rFonts w:hint="eastAsia"/>
        </w:rPr>
        <w:t>4</w:t>
      </w:r>
      <w:r>
        <w:t>.</w:t>
      </w:r>
      <w:r>
        <w:rPr>
          <w:rFonts w:hint="eastAsia"/>
        </w:rPr>
        <w:t>评估结果可以生成患者特殊标识用于临床，如有压疮风险病人生成压疮标识，医护能够快速了解病人特殊情况。</w:t>
      </w:r>
    </w:p>
    <w:p w14:paraId="400FE9CF">
      <w:pPr>
        <w:pStyle w:val="8"/>
        <w:numPr>
          <w:ilvl w:val="5"/>
          <w:numId w:val="16"/>
        </w:numPr>
      </w:pPr>
      <w:r>
        <w:rPr>
          <w:rFonts w:hint="eastAsia"/>
        </w:rPr>
        <w:t>产程图</w:t>
      </w:r>
    </w:p>
    <w:p w14:paraId="77EBF129">
      <w:pPr>
        <w:pStyle w:val="3"/>
      </w:pPr>
      <w:r>
        <w:rPr>
          <w:rFonts w:hint="eastAsia"/>
        </w:rPr>
        <w:t>可根据孕妇情况录入宫缩时间、产程时段、孕次、孕周、胎盘娩出时间等信息，记录各个检查时间段宫口、宫缩情况以及胎心、胎方位等胎儿信息，根据录入的信息自动生成产程图，所见即所得。</w:t>
      </w:r>
    </w:p>
    <w:p w14:paraId="0E7EFB65">
      <w:pPr>
        <w:pStyle w:val="3"/>
      </w:pPr>
      <w:r>
        <w:rPr>
          <w:rFonts w:hint="eastAsia"/>
        </w:rPr>
        <w:t>支持自定义配置产程图录入界面的录入项目。</w:t>
      </w:r>
    </w:p>
    <w:p w14:paraId="4933C106">
      <w:pPr>
        <w:pStyle w:val="8"/>
        <w:numPr>
          <w:ilvl w:val="5"/>
          <w:numId w:val="16"/>
        </w:numPr>
      </w:pPr>
      <w:r>
        <w:rPr>
          <w:rFonts w:hint="eastAsia"/>
        </w:rPr>
        <w:t>婴儿登记</w:t>
      </w:r>
    </w:p>
    <w:p w14:paraId="2B72C647">
      <w:pPr>
        <w:pStyle w:val="3"/>
      </w:pPr>
      <w:r>
        <w:rPr>
          <w:rFonts w:hint="eastAsia"/>
        </w:rPr>
        <w:t>支持登记婴儿身高、体重、出生日期、分娩方式、孕周、产次、Apgar评分等信息，支持多个婴儿一起登记。</w:t>
      </w:r>
    </w:p>
    <w:p w14:paraId="3BB2CB36">
      <w:pPr>
        <w:pStyle w:val="8"/>
        <w:numPr>
          <w:ilvl w:val="5"/>
          <w:numId w:val="16"/>
        </w:numPr>
      </w:pPr>
      <w:r>
        <w:rPr>
          <w:rFonts w:hint="eastAsia"/>
        </w:rPr>
        <w:t>护理会诊</w:t>
      </w:r>
    </w:p>
    <w:p w14:paraId="4E1FE6E0">
      <w:pPr>
        <w:pStyle w:val="3"/>
      </w:pPr>
      <w:r>
        <w:rPr>
          <w:rFonts w:hint="eastAsia"/>
        </w:rPr>
        <w:t>支持护理进行会诊，护士可以发起会诊，填写会诊申请单，描述病人护理情况，选择需要会诊的护理科室或者护理人员。被要求护理科室或者护理人员可以接受应答会诊，进行会诊意见书写。</w:t>
      </w:r>
    </w:p>
    <w:p w14:paraId="62D79872">
      <w:pPr>
        <w:pStyle w:val="8"/>
        <w:numPr>
          <w:ilvl w:val="5"/>
          <w:numId w:val="16"/>
        </w:numPr>
      </w:pPr>
      <w:r>
        <w:rPr>
          <w:rFonts w:hint="eastAsia"/>
        </w:rPr>
        <w:t>护理记录维护</w:t>
      </w:r>
    </w:p>
    <w:p w14:paraId="7359FD31">
      <w:pPr>
        <w:pStyle w:val="134"/>
        <w:ind w:firstLineChars="0"/>
      </w:pPr>
      <w:r>
        <w:rPr>
          <w:rFonts w:hint="eastAsia"/>
        </w:rPr>
        <w:t>可进行个性化定制各类护理表单格式和录入内容，包含护理录入项目的名称、代码、关联字典、录入方式以及正确性校验等属性。</w:t>
      </w:r>
    </w:p>
    <w:p w14:paraId="5BAA9456">
      <w:pPr>
        <w:pStyle w:val="134"/>
        <w:ind w:left="360" w:firstLine="0" w:firstLineChars="0"/>
      </w:pPr>
      <w:r>
        <w:rPr>
          <w:rFonts w:hint="eastAsia"/>
        </w:rPr>
        <w:t>可以根据科室需求自定义维护出入量录入项目。</w:t>
      </w:r>
    </w:p>
    <w:p w14:paraId="5B409BEF">
      <w:pPr>
        <w:pStyle w:val="8"/>
        <w:numPr>
          <w:ilvl w:val="5"/>
          <w:numId w:val="16"/>
        </w:numPr>
      </w:pPr>
      <w:r>
        <w:t>中医优势病种</w:t>
      </w:r>
    </w:p>
    <w:p w14:paraId="5BD8E4DF">
      <w:pPr>
        <w:pStyle w:val="134"/>
        <w:ind w:left="360" w:firstLine="0" w:firstLineChars="0"/>
      </w:pPr>
      <w:r>
        <w:t>1．支持按照病种来创建结构化的中医护理方案</w:t>
      </w:r>
    </w:p>
    <w:p w14:paraId="53FCFD97">
      <w:pPr>
        <w:pStyle w:val="134"/>
        <w:ind w:left="360" w:firstLine="0" w:firstLineChars="0"/>
      </w:pPr>
      <w:r>
        <w:t>2.支持根据已有的方案内容执行，也支持新增方案内没有的项目，可以根据病情调整勾选对应症状并生成相应的护理方案。</w:t>
      </w:r>
    </w:p>
    <w:p w14:paraId="68791275">
      <w:pPr>
        <w:pStyle w:val="7"/>
        <w:numPr>
          <w:ilvl w:val="4"/>
          <w:numId w:val="16"/>
        </w:numPr>
      </w:pPr>
      <w:r>
        <w:rPr>
          <w:rFonts w:hint="eastAsia"/>
        </w:rPr>
        <w:t>批量录入</w:t>
      </w:r>
    </w:p>
    <w:p w14:paraId="6C8AC31C">
      <w:pPr>
        <w:pStyle w:val="8"/>
        <w:numPr>
          <w:ilvl w:val="5"/>
          <w:numId w:val="16"/>
        </w:numPr>
      </w:pPr>
      <w:r>
        <w:rPr>
          <w:rFonts w:hint="eastAsia"/>
        </w:rPr>
        <w:t>批量录入成人体温单</w:t>
      </w:r>
    </w:p>
    <w:p w14:paraId="24618B5E">
      <w:pPr>
        <w:pStyle w:val="3"/>
      </w:pPr>
      <w:r>
        <w:rPr>
          <w:rFonts w:hint="eastAsia"/>
        </w:rPr>
        <w:t>可批量进行成人体征信息录入，支持按照时间点选择需要录入体温信息的病人，录入项目支持自定义增加录入项目，录入时支持全键盘录入，录入完成可选择病人打印体温单。</w:t>
      </w:r>
    </w:p>
    <w:p w14:paraId="039881BE">
      <w:pPr>
        <w:pStyle w:val="8"/>
        <w:numPr>
          <w:ilvl w:val="5"/>
          <w:numId w:val="16"/>
        </w:numPr>
      </w:pPr>
      <w:r>
        <w:rPr>
          <w:rFonts w:hint="eastAsia"/>
        </w:rPr>
        <w:t>批量录入婴儿体温单</w:t>
      </w:r>
    </w:p>
    <w:p w14:paraId="3DF771C7">
      <w:pPr>
        <w:pStyle w:val="3"/>
      </w:pPr>
      <w:r>
        <w:rPr>
          <w:rFonts w:hint="eastAsia"/>
        </w:rPr>
        <w:t>可批量进行婴儿体征信息录入，支持按照时间点选择需要录入体温信息的婴儿，录入项目支持自定义增加录入项目，录入时支持全键盘录入，录入完成可选择病人打印体温单。</w:t>
      </w:r>
    </w:p>
    <w:p w14:paraId="4AE42A5F">
      <w:pPr>
        <w:pStyle w:val="8"/>
        <w:numPr>
          <w:ilvl w:val="5"/>
          <w:numId w:val="16"/>
        </w:numPr>
      </w:pPr>
      <w:r>
        <w:rPr>
          <w:rFonts w:hint="eastAsia"/>
        </w:rPr>
        <w:t>表格病历批量录入</w:t>
      </w:r>
    </w:p>
    <w:p w14:paraId="3446639C">
      <w:pPr>
        <w:pStyle w:val="3"/>
      </w:pPr>
      <w:r>
        <w:rPr>
          <w:rFonts w:hint="eastAsia"/>
        </w:rPr>
        <w:t>可对表格式的护理评估进行批量录入，支持选择表格病历模板进行录入，支持批量录入不同时间的评估信息，根据录入的评估项自动计算分数。</w:t>
      </w:r>
    </w:p>
    <w:p w14:paraId="3B22A717">
      <w:pPr>
        <w:pStyle w:val="7"/>
        <w:numPr>
          <w:ilvl w:val="4"/>
          <w:numId w:val="16"/>
        </w:numPr>
      </w:pPr>
      <w:r>
        <w:rPr>
          <w:rFonts w:hint="eastAsia"/>
        </w:rPr>
        <w:t>护理质量管理质控</w:t>
      </w:r>
    </w:p>
    <w:p w14:paraId="71D0AC63">
      <w:pPr>
        <w:pStyle w:val="3"/>
      </w:pPr>
      <w:r>
        <w:rPr>
          <w:rFonts w:hint="eastAsia"/>
        </w:rPr>
        <w:t>1</w:t>
      </w:r>
      <w:r>
        <w:t>.</w:t>
      </w:r>
      <w:r>
        <w:rPr>
          <w:rFonts w:hint="eastAsia"/>
        </w:rPr>
        <w:t>对护理记录质量问题以消息形式提示护士；护士通过点击消息快速查看问题记录的缺陷情况，自动定位缺陷位置便于护士的及时修改；护士在护理记录录入时，能根据护理质量验证规则对输入项目进行验证及提醒。</w:t>
      </w:r>
    </w:p>
    <w:p w14:paraId="02393711">
      <w:pPr>
        <w:pStyle w:val="3"/>
      </w:pPr>
      <w:r>
        <w:rPr>
          <w:rFonts w:hint="eastAsia"/>
        </w:rPr>
        <w:t>2</w:t>
      </w:r>
      <w:r>
        <w:t>.</w:t>
      </w:r>
      <w:r>
        <w:rPr>
          <w:rFonts w:hint="eastAsia"/>
        </w:rPr>
        <w:t>护理管理部门或护士根据护理管理部门质控要求，对重点患者进行筛查管理和质量统计分析(如:危重患者、围术期患者、院内感染患者、高度跌倒风险患者等)，并将问题以消息的形式发送给护士。</w:t>
      </w:r>
    </w:p>
    <w:p w14:paraId="5367A253">
      <w:pPr>
        <w:pStyle w:val="6"/>
        <w:numPr>
          <w:ilvl w:val="3"/>
          <w:numId w:val="16"/>
        </w:numPr>
      </w:pPr>
      <w:bookmarkStart w:id="521" w:name="_Toc120726492"/>
      <w:bookmarkEnd w:id="521"/>
      <w:bookmarkStart w:id="522" w:name="_Toc120730788"/>
      <w:bookmarkEnd w:id="522"/>
      <w:bookmarkStart w:id="523" w:name="_Toc120726493"/>
      <w:bookmarkEnd w:id="523"/>
      <w:bookmarkStart w:id="524" w:name="_Toc120730789"/>
      <w:bookmarkEnd w:id="524"/>
      <w:bookmarkStart w:id="525" w:name="_Toc120726491"/>
      <w:bookmarkEnd w:id="525"/>
      <w:bookmarkStart w:id="526" w:name="_Toc120730787"/>
      <w:bookmarkEnd w:id="526"/>
      <w:bookmarkStart w:id="527" w:name="_Toc120726494"/>
      <w:bookmarkEnd w:id="527"/>
      <w:bookmarkStart w:id="528" w:name="_Toc120730786"/>
      <w:bookmarkEnd w:id="528"/>
      <w:bookmarkStart w:id="529" w:name="_Toc147920871"/>
      <w:r>
        <w:rPr>
          <w:rFonts w:hint="eastAsia"/>
        </w:rPr>
        <w:t>病案管理与统计系统</w:t>
      </w:r>
      <w:bookmarkEnd w:id="529"/>
    </w:p>
    <w:p w14:paraId="2AAC2613">
      <w:pPr>
        <w:pStyle w:val="3"/>
      </w:pPr>
      <w:r>
        <w:rPr>
          <w:rFonts w:hint="eastAsia"/>
        </w:rPr>
        <w:t>病案管理与统计系统为电子病历系统提供病案管理的服务与支持，主要包含病历编码、归档、回退、冻结、借阅、复印、统计查询等功能。</w:t>
      </w:r>
      <w:r>
        <w:rPr>
          <w:rFonts w:hint="eastAsia" w:asciiTheme="minorEastAsia" w:hAnsiTheme="minorEastAsia" w:eastAsiaTheme="minorEastAsia"/>
        </w:rPr>
        <w:t>具备支持以下功能：</w:t>
      </w:r>
    </w:p>
    <w:p w14:paraId="4515FF06">
      <w:pPr>
        <w:pStyle w:val="7"/>
        <w:numPr>
          <w:ilvl w:val="4"/>
          <w:numId w:val="16"/>
        </w:numPr>
      </w:pPr>
      <w:r>
        <w:rPr>
          <w:rFonts w:hint="eastAsia"/>
        </w:rPr>
        <w:t>病案回退管理</w:t>
      </w:r>
    </w:p>
    <w:p w14:paraId="5378F5F1">
      <w:pPr>
        <w:pStyle w:val="3"/>
      </w:pPr>
      <w:r>
        <w:rPr>
          <w:rFonts w:hint="eastAsia"/>
        </w:rPr>
        <w:t>可根据不同条件查询病案信息基本情况以及所有病历文书内容，支持导出查询结果列表。</w:t>
      </w:r>
    </w:p>
    <w:p w14:paraId="046A5244">
      <w:pPr>
        <w:pStyle w:val="3"/>
      </w:pPr>
      <w:r>
        <w:rPr>
          <w:rFonts w:hint="eastAsia"/>
        </w:rPr>
        <w:t>支持单个或者批量回退病历，回退时可根据角色回退，支持单独回退医生或者单独回退护士的病历。</w:t>
      </w:r>
    </w:p>
    <w:p w14:paraId="7AA067C0">
      <w:pPr>
        <w:pStyle w:val="3"/>
      </w:pPr>
      <w:r>
        <w:rPr>
          <w:rFonts w:hint="eastAsia"/>
        </w:rPr>
        <w:t>医护可申请回退相关病案，病案室审批通过后自动回退。</w:t>
      </w:r>
    </w:p>
    <w:p w14:paraId="6B3D1F00">
      <w:pPr>
        <w:pStyle w:val="3"/>
      </w:pPr>
      <w:r>
        <w:rPr>
          <w:rFonts w:hint="eastAsia"/>
        </w:rPr>
        <w:t>支持查看和打印病案，打印时支持单份或者联合病历打印。</w:t>
      </w:r>
    </w:p>
    <w:p w14:paraId="15856162">
      <w:pPr>
        <w:pStyle w:val="3"/>
      </w:pPr>
      <w:r>
        <w:rPr>
          <w:rFonts w:hint="eastAsia"/>
        </w:rPr>
        <w:t>支持对病案的诊断进行确认，确认后的病历如果回退到医生则不可再修改诊断。</w:t>
      </w:r>
    </w:p>
    <w:p w14:paraId="1DA283FB">
      <w:pPr>
        <w:pStyle w:val="7"/>
        <w:numPr>
          <w:ilvl w:val="4"/>
          <w:numId w:val="16"/>
        </w:numPr>
      </w:pPr>
      <w:r>
        <w:rPr>
          <w:rFonts w:hint="eastAsia"/>
        </w:rPr>
        <w:t>病案编码</w:t>
      </w:r>
    </w:p>
    <w:p w14:paraId="2016455B">
      <w:pPr>
        <w:pStyle w:val="3"/>
      </w:pPr>
      <w:r>
        <w:rPr>
          <w:rFonts w:hint="eastAsia"/>
        </w:rPr>
        <w:t>支持对已提交的病案进行诊断和手术编码，编码时可以查看医生原始编码，支持在原始编码上进行重新编码。</w:t>
      </w:r>
    </w:p>
    <w:p w14:paraId="2A9D7F91">
      <w:pPr>
        <w:pStyle w:val="3"/>
      </w:pPr>
      <w:r>
        <w:rPr>
          <w:rFonts w:hint="eastAsia"/>
        </w:rPr>
        <w:t>支持编码拆分与合并，可新增、删除编码，调整编码顺序。</w:t>
      </w:r>
    </w:p>
    <w:p w14:paraId="7FDE6B74">
      <w:pPr>
        <w:pStyle w:val="3"/>
      </w:pPr>
      <w:r>
        <w:rPr>
          <w:rFonts w:hint="eastAsia"/>
        </w:rPr>
        <w:t>支持编码保存时进行合理性校验。</w:t>
      </w:r>
    </w:p>
    <w:p w14:paraId="0B6CE59E">
      <w:pPr>
        <w:pStyle w:val="3"/>
      </w:pPr>
      <w:r>
        <w:rPr>
          <w:rFonts w:hint="eastAsia"/>
        </w:rPr>
        <w:t>支持编码后数据单独存储，与原始数据分开，发生病案回退后医生有修改诊断则不影响病案室编码的诊断。</w:t>
      </w:r>
    </w:p>
    <w:p w14:paraId="00ACF8FC">
      <w:pPr>
        <w:pStyle w:val="3"/>
      </w:pPr>
      <w:r>
        <w:rPr>
          <w:rFonts w:hint="eastAsia"/>
        </w:rPr>
        <w:t>支持通过快捷键全键盘操作编码。</w:t>
      </w:r>
    </w:p>
    <w:p w14:paraId="6D60D61B">
      <w:pPr>
        <w:pStyle w:val="3"/>
      </w:pPr>
      <w:r>
        <w:rPr>
          <w:rFonts w:hint="eastAsia"/>
        </w:rPr>
        <w:t>支持上级对编码进行审核，审核通过后确认编码。</w:t>
      </w:r>
    </w:p>
    <w:p w14:paraId="0F7877E3">
      <w:pPr>
        <w:pStyle w:val="3"/>
      </w:pPr>
      <w:r>
        <w:rPr>
          <w:rFonts w:hint="eastAsia"/>
        </w:rPr>
        <w:t>支持编码完成后可直接对病案进行回退或者归档操作。</w:t>
      </w:r>
    </w:p>
    <w:p w14:paraId="5ADDB56F">
      <w:pPr>
        <w:pStyle w:val="3"/>
      </w:pPr>
      <w:r>
        <w:rPr>
          <w:rFonts w:hint="eastAsia"/>
        </w:rPr>
        <w:t>支持查询病案编码信息，如：编码人、编码时间、审核人、审核时间等。</w:t>
      </w:r>
    </w:p>
    <w:p w14:paraId="6A44E8AC">
      <w:pPr>
        <w:pStyle w:val="7"/>
        <w:numPr>
          <w:ilvl w:val="4"/>
          <w:numId w:val="16"/>
        </w:numPr>
      </w:pPr>
      <w:r>
        <w:rPr>
          <w:rFonts w:hint="eastAsia"/>
        </w:rPr>
        <w:t>首页数据校对</w:t>
      </w:r>
    </w:p>
    <w:p w14:paraId="28788882">
      <w:pPr>
        <w:pStyle w:val="3"/>
      </w:pPr>
      <w:r>
        <w:rPr>
          <w:rFonts w:hint="eastAsia"/>
        </w:rPr>
        <w:t>可根据条件查询首页校对的病人信息以及病历信息。</w:t>
      </w:r>
    </w:p>
    <w:p w14:paraId="3EFD11B6">
      <w:pPr>
        <w:pStyle w:val="3"/>
      </w:pPr>
      <w:r>
        <w:rPr>
          <w:rFonts w:hint="eastAsia"/>
        </w:rPr>
        <w:t>支持按首页分类查看患者病案首页所有内容。</w:t>
      </w:r>
    </w:p>
    <w:p w14:paraId="21D6530F">
      <w:pPr>
        <w:pStyle w:val="3"/>
      </w:pPr>
      <w:r>
        <w:rPr>
          <w:rFonts w:hint="eastAsia"/>
        </w:rPr>
        <w:t>支持校对后的首页信息内容单独存储，修改后不影响原始首页信息。</w:t>
      </w:r>
    </w:p>
    <w:p w14:paraId="5D667830">
      <w:pPr>
        <w:pStyle w:val="3"/>
      </w:pPr>
      <w:r>
        <w:rPr>
          <w:rFonts w:hint="eastAsia"/>
        </w:rPr>
        <w:t>支持首页数据校对时对诊断与手术进行编码。</w:t>
      </w:r>
    </w:p>
    <w:p w14:paraId="083A8F29">
      <w:pPr>
        <w:pStyle w:val="3"/>
      </w:pPr>
      <w:r>
        <w:rPr>
          <w:rFonts w:hint="eastAsia"/>
        </w:rPr>
        <w:t>支持首页数据校对审核后执行首页质控规则，确保校对后数据符合规范。</w:t>
      </w:r>
    </w:p>
    <w:p w14:paraId="4D71A2E2">
      <w:pPr>
        <w:pStyle w:val="7"/>
        <w:numPr>
          <w:ilvl w:val="4"/>
          <w:numId w:val="16"/>
        </w:numPr>
      </w:pPr>
      <w:r>
        <w:rPr>
          <w:rFonts w:hint="eastAsia"/>
        </w:rPr>
        <w:t>病案归档</w:t>
      </w:r>
    </w:p>
    <w:p w14:paraId="5CCD1988">
      <w:pPr>
        <w:pStyle w:val="3"/>
      </w:pPr>
      <w:r>
        <w:rPr>
          <w:rFonts w:hint="eastAsia"/>
        </w:rPr>
        <w:t>可对病案进行归档操作，归档时可对病案进行上架，记录病案所在位置。</w:t>
      </w:r>
    </w:p>
    <w:p w14:paraId="4D93F848">
      <w:pPr>
        <w:pStyle w:val="3"/>
      </w:pPr>
      <w:r>
        <w:rPr>
          <w:rFonts w:hint="eastAsia"/>
        </w:rPr>
        <w:t>支持打印病案条形码。</w:t>
      </w:r>
    </w:p>
    <w:p w14:paraId="07F494F7">
      <w:pPr>
        <w:pStyle w:val="3"/>
      </w:pPr>
      <w:r>
        <w:rPr>
          <w:rFonts w:hint="eastAsia"/>
        </w:rPr>
        <w:t>支持通过扫码枪进行扫码归档。</w:t>
      </w:r>
    </w:p>
    <w:p w14:paraId="4D3FFB61">
      <w:pPr>
        <w:pStyle w:val="3"/>
      </w:pPr>
      <w:r>
        <w:rPr>
          <w:rFonts w:hint="eastAsia"/>
        </w:rPr>
        <w:t>可对归档的病案进行回退，回退到提交或者书写状态。</w:t>
      </w:r>
    </w:p>
    <w:p w14:paraId="34805E43">
      <w:pPr>
        <w:pStyle w:val="3"/>
      </w:pPr>
      <w:r>
        <w:rPr>
          <w:rFonts w:hint="eastAsia"/>
        </w:rPr>
        <w:t>可查询病案归档详细信息，例如归档时间、归档人、上架时间、上架位置等。</w:t>
      </w:r>
    </w:p>
    <w:p w14:paraId="2861F82A">
      <w:pPr>
        <w:pStyle w:val="7"/>
        <w:numPr>
          <w:ilvl w:val="4"/>
          <w:numId w:val="16"/>
        </w:numPr>
      </w:pPr>
      <w:r>
        <w:rPr>
          <w:rFonts w:hint="eastAsia"/>
        </w:rPr>
        <w:t>纸质病案管理</w:t>
      </w:r>
    </w:p>
    <w:p w14:paraId="227C983D">
      <w:pPr>
        <w:pStyle w:val="8"/>
        <w:numPr>
          <w:ilvl w:val="5"/>
          <w:numId w:val="16"/>
        </w:numPr>
      </w:pPr>
      <w:r>
        <w:rPr>
          <w:rFonts w:hint="eastAsia"/>
        </w:rPr>
        <w:t>纸质病历签收</w:t>
      </w:r>
    </w:p>
    <w:p w14:paraId="668D0096">
      <w:pPr>
        <w:pStyle w:val="3"/>
      </w:pPr>
      <w:r>
        <w:rPr>
          <w:rFonts w:hint="eastAsia"/>
        </w:rPr>
        <w:t>科室可将出院病历纸质病历进行签出，签出后病案室根据科室提交的纸质病历进行签收，支持病案室进行扫描签收，签收后可根据条件进行签收记录查询。</w:t>
      </w:r>
    </w:p>
    <w:p w14:paraId="3B5A75DC">
      <w:pPr>
        <w:pStyle w:val="8"/>
        <w:numPr>
          <w:ilvl w:val="5"/>
          <w:numId w:val="16"/>
        </w:numPr>
      </w:pPr>
      <w:r>
        <w:rPr>
          <w:rFonts w:hint="eastAsia"/>
        </w:rPr>
        <w:t>纸质病历催交</w:t>
      </w:r>
    </w:p>
    <w:p w14:paraId="36E9EA3A">
      <w:pPr>
        <w:pStyle w:val="3"/>
      </w:pPr>
      <w:r>
        <w:rPr>
          <w:rFonts w:hint="eastAsia"/>
        </w:rPr>
        <w:t>支持设置病人出院后多少天需要提交纸质病历，支持查询超过时限未提交的纸质病历，可进行一键催交，催交信息会在医护在工作界面进行弹窗显示。</w:t>
      </w:r>
    </w:p>
    <w:p w14:paraId="7A7DE3C8">
      <w:pPr>
        <w:pStyle w:val="8"/>
        <w:numPr>
          <w:ilvl w:val="5"/>
          <w:numId w:val="16"/>
        </w:numPr>
      </w:pPr>
      <w:r>
        <w:rPr>
          <w:rFonts w:hint="eastAsia"/>
        </w:rPr>
        <w:t>纸质病历示踪</w:t>
      </w:r>
    </w:p>
    <w:p w14:paraId="5443933C">
      <w:pPr>
        <w:pStyle w:val="3"/>
      </w:pPr>
      <w:r>
        <w:rPr>
          <w:rFonts w:hint="eastAsia"/>
        </w:rPr>
        <w:t>提供病案示踪功能，根据条件查询纸质病案流转信息，例如签收、归档、借阅、复印等信息，可查询纸质病案当前的位置信息，例如归档的柜号或者借阅到的科室等。</w:t>
      </w:r>
    </w:p>
    <w:p w14:paraId="56A1E99A">
      <w:pPr>
        <w:pStyle w:val="8"/>
        <w:numPr>
          <w:ilvl w:val="5"/>
          <w:numId w:val="16"/>
        </w:numPr>
      </w:pPr>
      <w:r>
        <w:rPr>
          <w:rFonts w:hint="eastAsia"/>
        </w:rPr>
        <w:t>纸质病历整改</w:t>
      </w:r>
    </w:p>
    <w:p w14:paraId="70469D24">
      <w:pPr>
        <w:pStyle w:val="3"/>
      </w:pPr>
      <w:r>
        <w:rPr>
          <w:rFonts w:hint="eastAsia"/>
        </w:rPr>
        <w:t>支持病案室对签收发现有问题的病历，例如提交的病案有遗漏等，进行问题记录并进行回退给医护进行整改。</w:t>
      </w:r>
    </w:p>
    <w:p w14:paraId="725D893B">
      <w:pPr>
        <w:pStyle w:val="7"/>
        <w:numPr>
          <w:ilvl w:val="4"/>
          <w:numId w:val="16"/>
        </w:numPr>
      </w:pPr>
      <w:r>
        <w:rPr>
          <w:rFonts w:hint="eastAsia"/>
        </w:rPr>
        <w:t>病案借阅</w:t>
      </w:r>
    </w:p>
    <w:p w14:paraId="090B61F7">
      <w:pPr>
        <w:pStyle w:val="3"/>
      </w:pPr>
      <w:r>
        <w:rPr>
          <w:rFonts w:hint="eastAsia"/>
        </w:rPr>
        <w:t>用户可根据疾病、科室等条件查询需要借阅的病案进行申请借阅，借阅时可选择借阅电子还是纸质以及选择借阅时长。</w:t>
      </w:r>
    </w:p>
    <w:p w14:paraId="4EE51A17">
      <w:pPr>
        <w:pStyle w:val="3"/>
      </w:pPr>
      <w:r>
        <w:rPr>
          <w:rFonts w:hint="eastAsia"/>
        </w:rPr>
        <w:t>病案室可对借阅申请进行审批，电子病历审批通过后自动借阅，纸质病历在病案室实际借出后在系统上确认借出。</w:t>
      </w:r>
    </w:p>
    <w:p w14:paraId="09B04784">
      <w:pPr>
        <w:pStyle w:val="3"/>
      </w:pPr>
      <w:r>
        <w:rPr>
          <w:rFonts w:hint="eastAsia"/>
        </w:rPr>
        <w:t>提供查看借阅的电子病历展示界面。</w:t>
      </w:r>
    </w:p>
    <w:p w14:paraId="2BD84F35">
      <w:pPr>
        <w:pStyle w:val="3"/>
      </w:pPr>
      <w:r>
        <w:rPr>
          <w:rFonts w:hint="eastAsia"/>
        </w:rPr>
        <w:t>借阅完成后，用户可对借阅病历进行归还，电子病历直接归还，纸质病历需把病历归还到病案后进行确认归还。</w:t>
      </w:r>
    </w:p>
    <w:p w14:paraId="4A4DEC3D">
      <w:pPr>
        <w:pStyle w:val="3"/>
      </w:pPr>
      <w:r>
        <w:rPr>
          <w:rFonts w:hint="eastAsia"/>
        </w:rPr>
        <w:t>借阅后超过归还日期，用户可申请延期，病案室也可进行催还。</w:t>
      </w:r>
    </w:p>
    <w:p w14:paraId="7961C858">
      <w:pPr>
        <w:pStyle w:val="7"/>
        <w:numPr>
          <w:ilvl w:val="4"/>
          <w:numId w:val="16"/>
        </w:numPr>
      </w:pPr>
      <w:r>
        <w:rPr>
          <w:rFonts w:hint="eastAsia"/>
        </w:rPr>
        <w:t>病案冻结</w:t>
      </w:r>
    </w:p>
    <w:p w14:paraId="233163D7">
      <w:pPr>
        <w:pStyle w:val="3"/>
      </w:pPr>
      <w:r>
        <w:rPr>
          <w:rFonts w:hint="eastAsia"/>
        </w:rPr>
        <w:t>系统支持将患者病案进行冻结，冻结后患者的相关病案只能浏览不能编辑修改。</w:t>
      </w:r>
    </w:p>
    <w:p w14:paraId="532E15D2">
      <w:pPr>
        <w:pStyle w:val="3"/>
      </w:pPr>
      <w:r>
        <w:rPr>
          <w:rFonts w:hint="eastAsia"/>
        </w:rPr>
        <w:t>可对已冻结的进行解冻，解冻后患者的病案操作恢复正常。</w:t>
      </w:r>
    </w:p>
    <w:p w14:paraId="5EA1B24E">
      <w:pPr>
        <w:pStyle w:val="7"/>
        <w:numPr>
          <w:ilvl w:val="4"/>
          <w:numId w:val="16"/>
        </w:numPr>
      </w:pPr>
      <w:r>
        <w:rPr>
          <w:rFonts w:hint="eastAsia"/>
        </w:rPr>
        <w:t>快照管理</w:t>
      </w:r>
    </w:p>
    <w:p w14:paraId="05C85F6A">
      <w:pPr>
        <w:pStyle w:val="3"/>
      </w:pPr>
      <w:r>
        <w:rPr>
          <w:rFonts w:hint="eastAsia"/>
        </w:rPr>
        <w:t>可根据条件查询需要快照的病人。</w:t>
      </w:r>
    </w:p>
    <w:p w14:paraId="0859F0B8">
      <w:pPr>
        <w:widowControl/>
        <w:jc w:val="center"/>
        <w:textAlignment w:val="center"/>
      </w:pPr>
      <w:r>
        <w:rPr>
          <w:rFonts w:hint="eastAsia"/>
        </w:rPr>
        <w:t>快照时系统将患者</w:t>
      </w:r>
      <w:r>
        <w:rPr>
          <w:rFonts w:hint="eastAsia" w:ascii="宋体" w:hAnsi="宋体" w:cs="宋体"/>
          <w:color w:val="000000"/>
          <w:kern w:val="0"/>
          <w:sz w:val="22"/>
          <w:lang w:bidi="ar"/>
        </w:rPr>
        <w:t>当前</w:t>
      </w:r>
      <w:r>
        <w:rPr>
          <w:rFonts w:hint="eastAsia"/>
        </w:rPr>
        <w:t>时刻的病历转存到快照表，可以查看快照的病历内容。</w:t>
      </w:r>
    </w:p>
    <w:p w14:paraId="2566A68C">
      <w:pPr>
        <w:pStyle w:val="3"/>
      </w:pPr>
      <w:r>
        <w:rPr>
          <w:rFonts w:hint="eastAsia"/>
        </w:rPr>
        <w:t>快照后不影响患者病案正常操作。</w:t>
      </w:r>
    </w:p>
    <w:p w14:paraId="3A9000E2">
      <w:pPr>
        <w:pStyle w:val="7"/>
        <w:numPr>
          <w:ilvl w:val="4"/>
          <w:numId w:val="16"/>
        </w:numPr>
      </w:pPr>
      <w:r>
        <w:rPr>
          <w:rFonts w:hint="eastAsia"/>
        </w:rPr>
        <w:t>病案复印</w:t>
      </w:r>
    </w:p>
    <w:p w14:paraId="7F5F6430">
      <w:pPr>
        <w:pStyle w:val="3"/>
      </w:pPr>
      <w:r>
        <w:rPr>
          <w:rFonts w:hint="eastAsia"/>
        </w:rPr>
        <w:t>可通过病人身份证号、病案号等条件快速查询选择需要复印的病人。</w:t>
      </w:r>
    </w:p>
    <w:p w14:paraId="5EF9E74E">
      <w:pPr>
        <w:pStyle w:val="3"/>
      </w:pPr>
      <w:r>
        <w:rPr>
          <w:rFonts w:hint="eastAsia"/>
        </w:rPr>
        <w:t>支持选择需要复印的病案类型，填写复印原因，登记复印所需金额等信息。</w:t>
      </w:r>
    </w:p>
    <w:p w14:paraId="030BC9B5">
      <w:pPr>
        <w:pStyle w:val="3"/>
      </w:pPr>
      <w:r>
        <w:rPr>
          <w:rFonts w:hint="eastAsia"/>
        </w:rPr>
        <w:t>支持查询复印记录详情。</w:t>
      </w:r>
    </w:p>
    <w:p w14:paraId="7774F3B4">
      <w:pPr>
        <w:pStyle w:val="7"/>
        <w:numPr>
          <w:ilvl w:val="4"/>
          <w:numId w:val="16"/>
        </w:numPr>
      </w:pPr>
      <w:r>
        <w:rPr>
          <w:rFonts w:hint="eastAsia"/>
        </w:rPr>
        <w:t>综合查询</w:t>
      </w:r>
    </w:p>
    <w:p w14:paraId="067000D6">
      <w:pPr>
        <w:pStyle w:val="3"/>
        <w:widowControl/>
        <w:numPr>
          <w:ilvl w:val="0"/>
          <w:numId w:val="48"/>
        </w:numPr>
      </w:pPr>
      <w:r>
        <w:rPr>
          <w:rFonts w:hint="eastAsia"/>
        </w:rPr>
        <w:t>支持条件池授权和条件池融合到整合到条件池配置界面，实现一个界面内完成条件池配置；目录新增、删除与修改；生成条件的弹窗中过滤检索字段；配置关联字典时取值与代码的选择；返回列选择时自动翻译；按角色、科室和员工可以进行全选并批量分发。</w:t>
      </w:r>
    </w:p>
    <w:p w14:paraId="62CCE558">
      <w:pPr>
        <w:pStyle w:val="3"/>
      </w:pPr>
      <w:r>
        <w:rPr>
          <w:rFonts w:hint="eastAsia"/>
        </w:rPr>
        <w:t>2.支持综合查询增加条件时多选并一键引用到综合查询条件配置界面；询传入变量，给与默认参数，例如当前科室，当前用户等；查询的条件快捷的引用到返回列。</w:t>
      </w:r>
    </w:p>
    <w:p w14:paraId="202C022D">
      <w:pPr>
        <w:pStyle w:val="3"/>
      </w:pPr>
      <w:r>
        <w:rPr>
          <w:rFonts w:hint="eastAsia"/>
        </w:rPr>
        <w:t>3</w:t>
      </w:r>
      <w:r>
        <w:t>.</w:t>
      </w:r>
      <w:r>
        <w:rPr>
          <w:rFonts w:hint="eastAsia"/>
        </w:rPr>
        <w:t>支持将查询条件另存为查询模板供下次查询快速使用，模板共享范围支持设置为个人、科室、全院不同范围。</w:t>
      </w:r>
    </w:p>
    <w:p w14:paraId="6190016B">
      <w:pPr>
        <w:pStyle w:val="3"/>
      </w:pPr>
      <w:r>
        <w:rPr>
          <w:rFonts w:hint="eastAsia"/>
        </w:rPr>
        <w:t>4</w:t>
      </w:r>
      <w:r>
        <w:t>.</w:t>
      </w:r>
      <w:r>
        <w:rPr>
          <w:rFonts w:hint="eastAsia"/>
        </w:rPr>
        <w:t>可将查询模板配置成动态菜单分发给不同角色使用。</w:t>
      </w:r>
    </w:p>
    <w:p w14:paraId="05C42360">
      <w:pPr>
        <w:pStyle w:val="3"/>
      </w:pPr>
      <w:r>
        <w:rPr>
          <w:rFonts w:hint="eastAsia"/>
        </w:rPr>
        <w:t>5</w:t>
      </w:r>
      <w:r>
        <w:t>.</w:t>
      </w:r>
      <w:r>
        <w:rPr>
          <w:rFonts w:hint="eastAsia"/>
        </w:rPr>
        <w:t>查询结果支持导出成表格。</w:t>
      </w:r>
    </w:p>
    <w:p w14:paraId="7F13DFF6">
      <w:pPr>
        <w:pStyle w:val="7"/>
        <w:numPr>
          <w:ilvl w:val="4"/>
          <w:numId w:val="16"/>
        </w:numPr>
      </w:pPr>
      <w:r>
        <w:rPr>
          <w:rFonts w:hint="eastAsia"/>
        </w:rPr>
        <w:t>自定义诊断</w:t>
      </w:r>
      <w:r>
        <w:t>/</w:t>
      </w:r>
      <w:r>
        <w:rPr>
          <w:rFonts w:hint="eastAsia"/>
        </w:rPr>
        <w:t>手术审批</w:t>
      </w:r>
    </w:p>
    <w:p w14:paraId="0F33E89B">
      <w:pPr>
        <w:pStyle w:val="3"/>
      </w:pPr>
      <w:r>
        <w:rPr>
          <w:rFonts w:hint="eastAsia"/>
        </w:rPr>
        <w:t>系统支持使用自定义的诊断和手术名称，病案室可针对医生自定义的诊断和手术进行审批，审批时可以修改诊断/手术的编码以及名称和对应的标准的ICD10和ICD9编码，审批通过后医生在录入诊断和手术时才可以选择自定义的名称。</w:t>
      </w:r>
    </w:p>
    <w:p w14:paraId="2C0D2866">
      <w:pPr>
        <w:pStyle w:val="6"/>
        <w:numPr>
          <w:ilvl w:val="3"/>
          <w:numId w:val="16"/>
        </w:numPr>
      </w:pPr>
      <w:bookmarkStart w:id="530" w:name="_Toc147920872"/>
      <w:r>
        <w:rPr>
          <w:rFonts w:hint="eastAsia"/>
        </w:rPr>
        <w:t>电子病历质量管理系统</w:t>
      </w:r>
      <w:bookmarkEnd w:id="530"/>
    </w:p>
    <w:p w14:paraId="2C0112BB">
      <w:pPr>
        <w:pStyle w:val="3"/>
      </w:pPr>
      <w:r>
        <w:rPr>
          <w:rFonts w:hint="eastAsia"/>
        </w:rPr>
        <w:t>病历质控管理用于定义电子病历书写的质控目标、时间点、关键节点等质控内容，并实时监控电子病历书写的质控情况。由终末控制转到全面的环节控制、过程控制，这些控制要求包括时限质控、内容质控、三级质控等。通过病历三级质控体系，强化病历质量管理，在事前、事中、事后环节持续病历质量控制，实现医疗质量的持续提升。</w:t>
      </w:r>
    </w:p>
    <w:p w14:paraId="157A6913">
      <w:pPr>
        <w:pStyle w:val="3"/>
      </w:pPr>
      <w:r>
        <w:rPr>
          <w:rFonts w:hint="eastAsia" w:asciiTheme="minorEastAsia" w:hAnsiTheme="minorEastAsia" w:eastAsiaTheme="minorEastAsia"/>
        </w:rPr>
        <w:t>具备支持以下功能：</w:t>
      </w:r>
      <w:r>
        <w:rPr>
          <w:rFonts w:hint="eastAsia"/>
        </w:rPr>
        <w:t>：病历三级质控、病历质控规则设置、病历质量监控、病历质控分析等。</w:t>
      </w:r>
    </w:p>
    <w:p w14:paraId="708DD11C">
      <w:pPr>
        <w:pStyle w:val="5"/>
        <w:numPr>
          <w:ilvl w:val="2"/>
          <w:numId w:val="16"/>
        </w:numPr>
        <w:ind w:firstLine="602"/>
      </w:pPr>
      <w:bookmarkStart w:id="531" w:name="_Toc202539085"/>
      <w:r>
        <w:rPr>
          <w:rFonts w:hint="eastAsia"/>
        </w:rPr>
        <w:t>基层体检系统</w:t>
      </w:r>
      <w:bookmarkEnd w:id="531"/>
    </w:p>
    <w:p w14:paraId="20CC9FB0">
      <w:pPr>
        <w:pStyle w:val="3"/>
      </w:pPr>
      <w:r>
        <w:rPr>
          <w:rFonts w:hint="eastAsia" w:asciiTheme="minorEastAsia" w:hAnsiTheme="minorEastAsia" w:eastAsiaTheme="minorEastAsia"/>
        </w:rPr>
        <w:t>支持以下功能：</w:t>
      </w:r>
    </w:p>
    <w:tbl>
      <w:tblPr>
        <w:tblStyle w:val="42"/>
        <w:tblW w:w="5000" w:type="pct"/>
        <w:tblInd w:w="0" w:type="dxa"/>
        <w:tblLayout w:type="autofit"/>
        <w:tblCellMar>
          <w:top w:w="0" w:type="dxa"/>
          <w:left w:w="108" w:type="dxa"/>
          <w:bottom w:w="0" w:type="dxa"/>
          <w:right w:w="108" w:type="dxa"/>
        </w:tblCellMar>
      </w:tblPr>
      <w:tblGrid>
        <w:gridCol w:w="766"/>
        <w:gridCol w:w="1383"/>
        <w:gridCol w:w="6911"/>
      </w:tblGrid>
      <w:tr w14:paraId="2EFD9A86">
        <w:tblPrEx>
          <w:tblCellMar>
            <w:top w:w="0" w:type="dxa"/>
            <w:left w:w="108" w:type="dxa"/>
            <w:bottom w:w="0" w:type="dxa"/>
            <w:right w:w="108" w:type="dxa"/>
          </w:tblCellMar>
        </w:tblPrEx>
        <w:trPr>
          <w:trHeight w:val="375" w:hRule="atLeast"/>
        </w:trPr>
        <w:tc>
          <w:tcPr>
            <w:tcW w:w="423" w:type="pct"/>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10664600">
            <w:pPr>
              <w:widowControl/>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序号</w:t>
            </w:r>
          </w:p>
        </w:tc>
        <w:tc>
          <w:tcPr>
            <w:tcW w:w="763" w:type="pct"/>
            <w:tcBorders>
              <w:top w:val="single" w:color="auto" w:sz="4" w:space="0"/>
              <w:left w:val="nil"/>
              <w:bottom w:val="single" w:color="auto" w:sz="4" w:space="0"/>
              <w:right w:val="single" w:color="auto" w:sz="4" w:space="0"/>
            </w:tcBorders>
            <w:shd w:val="clear" w:color="auto" w:fill="D8D8D8" w:themeFill="background1" w:themeFillShade="D9"/>
            <w:vAlign w:val="center"/>
          </w:tcPr>
          <w:p w14:paraId="6D962F77">
            <w:pPr>
              <w:widowControl/>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配置</w:t>
            </w:r>
          </w:p>
        </w:tc>
        <w:tc>
          <w:tcPr>
            <w:tcW w:w="3814" w:type="pct"/>
            <w:tcBorders>
              <w:top w:val="single" w:color="auto" w:sz="4" w:space="0"/>
              <w:left w:val="nil"/>
              <w:bottom w:val="single" w:color="auto" w:sz="4" w:space="0"/>
              <w:right w:val="single" w:color="auto" w:sz="4" w:space="0"/>
            </w:tcBorders>
            <w:shd w:val="clear" w:color="auto" w:fill="D8D8D8" w:themeFill="background1" w:themeFillShade="D9"/>
            <w:vAlign w:val="center"/>
          </w:tcPr>
          <w:p w14:paraId="0E0060E1">
            <w:pPr>
              <w:widowControl/>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参数</w:t>
            </w:r>
          </w:p>
        </w:tc>
      </w:tr>
      <w:tr w14:paraId="723090DA">
        <w:tblPrEx>
          <w:tblCellMar>
            <w:top w:w="0" w:type="dxa"/>
            <w:left w:w="108" w:type="dxa"/>
            <w:bottom w:w="0" w:type="dxa"/>
            <w:right w:w="108" w:type="dxa"/>
          </w:tblCellMar>
        </w:tblPrEx>
        <w:trPr>
          <w:trHeight w:val="375" w:hRule="atLeast"/>
        </w:trPr>
        <w:tc>
          <w:tcPr>
            <w:tcW w:w="423" w:type="pct"/>
            <w:tcBorders>
              <w:top w:val="nil"/>
              <w:left w:val="single" w:color="auto" w:sz="4" w:space="0"/>
              <w:bottom w:val="single" w:color="auto" w:sz="4" w:space="0"/>
              <w:right w:val="single" w:color="auto" w:sz="4" w:space="0"/>
            </w:tcBorders>
            <w:shd w:val="clear" w:color="auto" w:fill="auto"/>
            <w:noWrap/>
            <w:vAlign w:val="center"/>
          </w:tcPr>
          <w:p w14:paraId="6474CC40">
            <w:pPr>
              <w:widowControl/>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763" w:type="pct"/>
            <w:tcBorders>
              <w:top w:val="nil"/>
              <w:left w:val="nil"/>
              <w:bottom w:val="single" w:color="auto" w:sz="4" w:space="0"/>
              <w:right w:val="single" w:color="auto" w:sz="4" w:space="0"/>
            </w:tcBorders>
            <w:shd w:val="clear" w:color="auto" w:fill="auto"/>
            <w:vAlign w:val="center"/>
          </w:tcPr>
          <w:p w14:paraId="769E82D7">
            <w:pPr>
              <w:widowControl/>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公共卫生智能查体终端主程序</w:t>
            </w:r>
          </w:p>
        </w:tc>
        <w:tc>
          <w:tcPr>
            <w:tcW w:w="3814" w:type="pct"/>
            <w:tcBorders>
              <w:top w:val="nil"/>
              <w:left w:val="nil"/>
              <w:bottom w:val="single" w:color="auto" w:sz="4" w:space="0"/>
              <w:right w:val="single" w:color="auto" w:sz="4" w:space="0"/>
            </w:tcBorders>
            <w:shd w:val="clear" w:color="auto" w:fill="auto"/>
            <w:vAlign w:val="center"/>
          </w:tcPr>
          <w:p w14:paraId="7EDE43C0">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1、按照国家基本公共卫生规范2017版设计。</w:t>
            </w:r>
          </w:p>
          <w:p w14:paraId="2F6D17FE">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2、身份证识别，个人二维码生成。</w:t>
            </w:r>
          </w:p>
          <w:p w14:paraId="430FB096">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 xml:space="preserve">3、档案信息，快速建档，必填项设置，可直接生成及打印纸质档案。 </w:t>
            </w:r>
          </w:p>
          <w:p w14:paraId="68910F0A">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4、健康体检：血糖、尿常规、体温、体重、血压数据通过无线蓝牙传输，数据传输时间可查询，查体居民的问询输入，自动生成异常指导、健康评价分析。</w:t>
            </w:r>
          </w:p>
          <w:p w14:paraId="7BE19FE1">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5、档案查询：可查询个人档案、家庭信息、体检信息等。</w:t>
            </w:r>
          </w:p>
          <w:p w14:paraId="0222B8B3">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6、国家基本公共卫生家庭医生签约服务系统：居民签约，服务包服务项目设置，可查询居民的签约状态、签约历史、服务套餐、服务项目、服务团队、服务医生等信息。</w:t>
            </w:r>
          </w:p>
          <w:p w14:paraId="0489BF82">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7、国家基本公共卫生随访服务管理软件：对重点人群的管理，包括儿童，孕产妇，老年人，高血压，脑卒，冠心病，精神疾病等人群的分类管理及随访服务。</w:t>
            </w:r>
          </w:p>
          <w:p w14:paraId="2DD8CECD">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8、综合查询：可查询居民的档案完整率、随访信息、建档数查询、体检人员数据查询以及医生的工作量统计等功能。</w:t>
            </w:r>
          </w:p>
          <w:p w14:paraId="568985AA">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9、数据同步：可对接医院的尿液分析仪、X光、B超、心电、生化、血球仪等检验检查设备，并自动提取检验检查结果生成完整的体检表。</w:t>
            </w:r>
          </w:p>
          <w:p w14:paraId="3B1E9153">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10、档案打印：可以进行单人打印（档案封面、基本信息表、体检表、随访表等），一键打印、批量打印、心电打印、B超打印（打印体检报告单：存档；反馈：一般状况，体检、生化、血球、心电、B超、老年人评估，中医体质辨识，异常指导）等操作。</w:t>
            </w:r>
          </w:p>
          <w:p w14:paraId="4195B922">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11、数据上传：1）数据提取转换软件（个性化定制）；2）可与当地公共卫生平台实时对接：3）国家基本公共卫生体检自动采集系统，可与当地公共卫生平台、当地基本公共卫生系统、当地家庭医生签约系统等对接通讯，实现各种健康数据的互联互通；数据调阅更方便、快捷。</w:t>
            </w:r>
          </w:p>
          <w:p w14:paraId="24C737CA">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12、1+N智能体检采集终端中主机和副机组合拆分均可使用，可离线存储数据，整体上传，也可单独上传。</w:t>
            </w:r>
          </w:p>
          <w:p w14:paraId="3D2606FA">
            <w:pPr>
              <w:widowControl/>
              <w:jc w:val="lef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13、家庭医生签约系统中内置严格遵照国家保密局公安部相关技术标准与国家法律法规，满足电子签名法的法律法规要求的电子签章系统。</w:t>
            </w:r>
          </w:p>
        </w:tc>
      </w:tr>
      <w:tr w14:paraId="6A4880EC">
        <w:tblPrEx>
          <w:tblCellMar>
            <w:top w:w="0" w:type="dxa"/>
            <w:left w:w="108" w:type="dxa"/>
            <w:bottom w:w="0" w:type="dxa"/>
            <w:right w:w="108" w:type="dxa"/>
          </w:tblCellMar>
        </w:tblPrEx>
        <w:trPr>
          <w:trHeight w:val="375" w:hRule="atLeast"/>
        </w:trPr>
        <w:tc>
          <w:tcPr>
            <w:tcW w:w="423" w:type="pct"/>
            <w:tcBorders>
              <w:top w:val="nil"/>
              <w:left w:val="single" w:color="auto" w:sz="4" w:space="0"/>
              <w:bottom w:val="single" w:color="auto" w:sz="4" w:space="0"/>
              <w:right w:val="single" w:color="auto" w:sz="4" w:space="0"/>
            </w:tcBorders>
            <w:shd w:val="clear" w:color="auto" w:fill="auto"/>
            <w:noWrap/>
            <w:vAlign w:val="center"/>
          </w:tcPr>
          <w:p w14:paraId="5FD365A3">
            <w:pPr>
              <w:widowControl/>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2</w:t>
            </w:r>
          </w:p>
        </w:tc>
        <w:tc>
          <w:tcPr>
            <w:tcW w:w="763" w:type="pct"/>
            <w:tcBorders>
              <w:top w:val="nil"/>
              <w:left w:val="nil"/>
              <w:bottom w:val="single" w:color="auto" w:sz="4" w:space="0"/>
              <w:right w:val="single" w:color="auto" w:sz="4" w:space="0"/>
            </w:tcBorders>
            <w:shd w:val="clear" w:color="auto" w:fill="auto"/>
            <w:vAlign w:val="center"/>
          </w:tcPr>
          <w:p w14:paraId="5DF2F0CE">
            <w:pPr>
              <w:widowControl/>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智能问诊采集系统</w:t>
            </w:r>
          </w:p>
        </w:tc>
        <w:tc>
          <w:tcPr>
            <w:tcW w:w="3814" w:type="pct"/>
            <w:tcBorders>
              <w:top w:val="nil"/>
              <w:left w:val="nil"/>
              <w:bottom w:val="single" w:color="auto" w:sz="4" w:space="0"/>
              <w:right w:val="single" w:color="auto" w:sz="4" w:space="0"/>
            </w:tcBorders>
            <w:shd w:val="clear" w:color="auto" w:fill="auto"/>
            <w:vAlign w:val="center"/>
          </w:tcPr>
          <w:p w14:paraId="74A16CDE">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通过条码自动获取居民信息，通过与查体居民的问询进行输入勾选生活方式，治疗情况等健康体检信息；问诊数据实时上传到公共卫生智能查体终端主程序。</w:t>
            </w:r>
          </w:p>
        </w:tc>
      </w:tr>
      <w:tr w14:paraId="34A6891C">
        <w:tblPrEx>
          <w:tblCellMar>
            <w:top w:w="0" w:type="dxa"/>
            <w:left w:w="108" w:type="dxa"/>
            <w:bottom w:w="0" w:type="dxa"/>
            <w:right w:w="108" w:type="dxa"/>
          </w:tblCellMar>
        </w:tblPrEx>
        <w:trPr>
          <w:trHeight w:val="375" w:hRule="atLeast"/>
        </w:trPr>
        <w:tc>
          <w:tcPr>
            <w:tcW w:w="423" w:type="pct"/>
            <w:tcBorders>
              <w:top w:val="nil"/>
              <w:left w:val="single" w:color="auto" w:sz="4" w:space="0"/>
              <w:bottom w:val="single" w:color="auto" w:sz="4" w:space="0"/>
              <w:right w:val="single" w:color="auto" w:sz="4" w:space="0"/>
            </w:tcBorders>
            <w:shd w:val="clear" w:color="auto" w:fill="auto"/>
            <w:noWrap/>
            <w:vAlign w:val="center"/>
          </w:tcPr>
          <w:p w14:paraId="52E3BBAF">
            <w:pPr>
              <w:widowControl/>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3</w:t>
            </w:r>
          </w:p>
        </w:tc>
        <w:tc>
          <w:tcPr>
            <w:tcW w:w="763" w:type="pct"/>
            <w:tcBorders>
              <w:top w:val="nil"/>
              <w:left w:val="nil"/>
              <w:bottom w:val="single" w:color="auto" w:sz="4" w:space="0"/>
              <w:right w:val="single" w:color="auto" w:sz="4" w:space="0"/>
            </w:tcBorders>
            <w:shd w:val="clear" w:color="auto" w:fill="auto"/>
            <w:vAlign w:val="center"/>
          </w:tcPr>
          <w:p w14:paraId="4CFFE662">
            <w:pPr>
              <w:widowControl/>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中医体质辨识系统</w:t>
            </w:r>
          </w:p>
        </w:tc>
        <w:tc>
          <w:tcPr>
            <w:tcW w:w="3814" w:type="pct"/>
            <w:tcBorders>
              <w:top w:val="nil"/>
              <w:left w:val="nil"/>
              <w:bottom w:val="single" w:color="auto" w:sz="4" w:space="0"/>
              <w:right w:val="single" w:color="auto" w:sz="4" w:space="0"/>
            </w:tcBorders>
            <w:shd w:val="clear" w:color="auto" w:fill="auto"/>
            <w:vAlign w:val="center"/>
          </w:tcPr>
          <w:p w14:paraId="770550CB">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通过条码自动获取居民信息，国家标准中医体质辨识问卷，可根据问诊结果，自动计算查体居民中医体质，并自动生成健康指导方案；数据可实时上传到公共卫生智能查体终端主程序。</w:t>
            </w:r>
          </w:p>
        </w:tc>
      </w:tr>
      <w:tr w14:paraId="69633D98">
        <w:tblPrEx>
          <w:tblCellMar>
            <w:top w:w="0" w:type="dxa"/>
            <w:left w:w="108" w:type="dxa"/>
            <w:bottom w:w="0" w:type="dxa"/>
            <w:right w:w="108" w:type="dxa"/>
          </w:tblCellMar>
        </w:tblPrEx>
        <w:trPr>
          <w:trHeight w:val="375" w:hRule="atLeast"/>
        </w:trPr>
        <w:tc>
          <w:tcPr>
            <w:tcW w:w="423" w:type="pct"/>
            <w:tcBorders>
              <w:top w:val="nil"/>
              <w:left w:val="single" w:color="auto" w:sz="4" w:space="0"/>
              <w:bottom w:val="single" w:color="auto" w:sz="4" w:space="0"/>
              <w:right w:val="single" w:color="auto" w:sz="4" w:space="0"/>
            </w:tcBorders>
            <w:shd w:val="clear" w:color="auto" w:fill="auto"/>
            <w:noWrap/>
            <w:vAlign w:val="center"/>
          </w:tcPr>
          <w:p w14:paraId="7F041A72">
            <w:pPr>
              <w:widowControl/>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4</w:t>
            </w:r>
          </w:p>
        </w:tc>
        <w:tc>
          <w:tcPr>
            <w:tcW w:w="763" w:type="pct"/>
            <w:tcBorders>
              <w:top w:val="nil"/>
              <w:left w:val="nil"/>
              <w:bottom w:val="single" w:color="auto" w:sz="4" w:space="0"/>
              <w:right w:val="single" w:color="auto" w:sz="4" w:space="0"/>
            </w:tcBorders>
            <w:shd w:val="clear" w:color="auto" w:fill="auto"/>
            <w:vAlign w:val="center"/>
          </w:tcPr>
          <w:p w14:paraId="6094AF92">
            <w:pPr>
              <w:widowControl/>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身高体重血压采集系统</w:t>
            </w:r>
          </w:p>
        </w:tc>
        <w:tc>
          <w:tcPr>
            <w:tcW w:w="3814" w:type="pct"/>
            <w:tcBorders>
              <w:top w:val="nil"/>
              <w:left w:val="nil"/>
              <w:bottom w:val="single" w:color="auto" w:sz="4" w:space="0"/>
              <w:right w:val="single" w:color="auto" w:sz="4" w:space="0"/>
            </w:tcBorders>
            <w:shd w:val="clear" w:color="auto" w:fill="auto"/>
            <w:vAlign w:val="center"/>
          </w:tcPr>
          <w:p w14:paraId="61F3F4C9">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通过条码自动获取居民信息，血糖、体温、体重、血压数据通过无线蓝牙传输，准确性真实性高；基础体检数据可离线存储数据，整体上传，也可实时上传到公共卫生智能查体终端主程序。</w:t>
            </w:r>
          </w:p>
        </w:tc>
      </w:tr>
      <w:tr w14:paraId="0A64A2CA">
        <w:tblPrEx>
          <w:tblCellMar>
            <w:top w:w="0" w:type="dxa"/>
            <w:left w:w="108" w:type="dxa"/>
            <w:bottom w:w="0" w:type="dxa"/>
            <w:right w:w="108" w:type="dxa"/>
          </w:tblCellMar>
        </w:tblPrEx>
        <w:trPr>
          <w:trHeight w:val="375" w:hRule="atLeast"/>
        </w:trPr>
        <w:tc>
          <w:tcPr>
            <w:tcW w:w="423" w:type="pct"/>
            <w:tcBorders>
              <w:top w:val="nil"/>
              <w:left w:val="single" w:color="auto" w:sz="4" w:space="0"/>
              <w:bottom w:val="single" w:color="auto" w:sz="4" w:space="0"/>
              <w:right w:val="single" w:color="auto" w:sz="4" w:space="0"/>
            </w:tcBorders>
            <w:shd w:val="clear" w:color="auto" w:fill="auto"/>
            <w:noWrap/>
            <w:vAlign w:val="center"/>
          </w:tcPr>
          <w:p w14:paraId="69CFE878">
            <w:pPr>
              <w:widowControl/>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5</w:t>
            </w:r>
          </w:p>
        </w:tc>
        <w:tc>
          <w:tcPr>
            <w:tcW w:w="763" w:type="pct"/>
            <w:tcBorders>
              <w:top w:val="nil"/>
              <w:left w:val="nil"/>
              <w:bottom w:val="single" w:color="auto" w:sz="4" w:space="0"/>
              <w:right w:val="single" w:color="auto" w:sz="4" w:space="0"/>
            </w:tcBorders>
            <w:shd w:val="clear" w:color="auto" w:fill="auto"/>
            <w:vAlign w:val="center"/>
          </w:tcPr>
          <w:p w14:paraId="44D8F302">
            <w:pPr>
              <w:widowControl/>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尿液采集系统</w:t>
            </w:r>
          </w:p>
        </w:tc>
        <w:tc>
          <w:tcPr>
            <w:tcW w:w="3814" w:type="pct"/>
            <w:tcBorders>
              <w:top w:val="nil"/>
              <w:left w:val="nil"/>
              <w:bottom w:val="single" w:color="auto" w:sz="4" w:space="0"/>
              <w:right w:val="single" w:color="auto" w:sz="4" w:space="0"/>
            </w:tcBorders>
            <w:shd w:val="clear" w:color="auto" w:fill="auto"/>
            <w:vAlign w:val="center"/>
          </w:tcPr>
          <w:p w14:paraId="770F5F5B">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通过条码自动获取居民信息，尿常规数据通过串口、无线蓝牙传输，准确性真实性高；尿液检测数据离线存储，可以进行查询居民的检测状态；数据可整体上传，也可单独上传到公共卫生智能查体终端主程序，同时可修改上传状态。</w:t>
            </w:r>
          </w:p>
        </w:tc>
      </w:tr>
      <w:tr w14:paraId="1FB49BE5">
        <w:tblPrEx>
          <w:tblCellMar>
            <w:top w:w="0" w:type="dxa"/>
            <w:left w:w="108" w:type="dxa"/>
            <w:bottom w:w="0" w:type="dxa"/>
            <w:right w:w="108" w:type="dxa"/>
          </w:tblCellMar>
        </w:tblPrEx>
        <w:trPr>
          <w:trHeight w:val="375" w:hRule="atLeast"/>
        </w:trPr>
        <w:tc>
          <w:tcPr>
            <w:tcW w:w="423" w:type="pct"/>
            <w:tcBorders>
              <w:top w:val="nil"/>
              <w:left w:val="single" w:color="auto" w:sz="4" w:space="0"/>
              <w:bottom w:val="single" w:color="auto" w:sz="4" w:space="0"/>
              <w:right w:val="single" w:color="auto" w:sz="4" w:space="0"/>
            </w:tcBorders>
            <w:shd w:val="clear" w:color="auto" w:fill="auto"/>
            <w:noWrap/>
            <w:vAlign w:val="center"/>
          </w:tcPr>
          <w:p w14:paraId="39E68F40">
            <w:pPr>
              <w:widowControl/>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6</w:t>
            </w:r>
          </w:p>
        </w:tc>
        <w:tc>
          <w:tcPr>
            <w:tcW w:w="763" w:type="pct"/>
            <w:tcBorders>
              <w:top w:val="nil"/>
              <w:left w:val="nil"/>
              <w:bottom w:val="single" w:color="auto" w:sz="4" w:space="0"/>
              <w:right w:val="single" w:color="auto" w:sz="4" w:space="0"/>
            </w:tcBorders>
            <w:shd w:val="clear" w:color="auto" w:fill="auto"/>
            <w:vAlign w:val="center"/>
          </w:tcPr>
          <w:p w14:paraId="04D4DC5E">
            <w:pPr>
              <w:widowControl/>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心电分析系统</w:t>
            </w:r>
          </w:p>
        </w:tc>
        <w:tc>
          <w:tcPr>
            <w:tcW w:w="3814" w:type="pct"/>
            <w:tcBorders>
              <w:top w:val="nil"/>
              <w:left w:val="nil"/>
              <w:bottom w:val="single" w:color="auto" w:sz="4" w:space="0"/>
              <w:right w:val="single" w:color="auto" w:sz="4" w:space="0"/>
            </w:tcBorders>
            <w:shd w:val="clear" w:color="auto" w:fill="auto"/>
            <w:vAlign w:val="center"/>
          </w:tcPr>
          <w:p w14:paraId="54BBC586">
            <w:pPr>
              <w:spacing w:line="319" w:lineRule="exact"/>
              <w:rPr>
                <w:rFonts w:asciiTheme="minorEastAsia" w:hAnsiTheme="minorEastAsia" w:eastAsiaTheme="minorEastAsia"/>
                <w:szCs w:val="24"/>
              </w:rPr>
            </w:pPr>
            <w:r>
              <w:rPr>
                <w:rFonts w:hint="eastAsia" w:cs="宋体" w:asciiTheme="minorEastAsia" w:hAnsiTheme="minorEastAsia" w:eastAsiaTheme="minorEastAsia"/>
                <w:color w:val="000000"/>
                <w:kern w:val="0"/>
                <w:szCs w:val="24"/>
              </w:rPr>
              <w:t>通过条码自动获取居民信息，连接心电设备，采集心电数据并进行心电分析和数据汇集；心电检测数据可离线存储，可以查询、修改心电数据，并显示数据的修改状态及上传状态，心电检测数据可整体上传，也可单独上传到公共卫生智能查体终端主程序。</w:t>
            </w:r>
          </w:p>
        </w:tc>
      </w:tr>
    </w:tbl>
    <w:p w14:paraId="0F63DC5F">
      <w:pPr>
        <w:pStyle w:val="3"/>
      </w:pPr>
    </w:p>
    <w:p w14:paraId="137920D7">
      <w:pPr>
        <w:pStyle w:val="4"/>
        <w:numPr>
          <w:ilvl w:val="1"/>
          <w:numId w:val="16"/>
        </w:numPr>
        <w:rPr>
          <w:rFonts w:asciiTheme="minorEastAsia" w:hAnsiTheme="minorEastAsia" w:eastAsiaTheme="minorEastAsia"/>
        </w:rPr>
      </w:pPr>
      <w:bookmarkStart w:id="532" w:name="_Toc202539086"/>
      <w:bookmarkStart w:id="533" w:name="_Toc131066803"/>
      <w:r>
        <w:rPr>
          <w:rFonts w:hint="eastAsia" w:asciiTheme="minorEastAsia" w:hAnsiTheme="minorEastAsia" w:eastAsiaTheme="minorEastAsia"/>
        </w:rPr>
        <w:t>一体化运营服务</w:t>
      </w:r>
      <w:bookmarkEnd w:id="532"/>
    </w:p>
    <w:p w14:paraId="18BCC7D6">
      <w:pPr>
        <w:pStyle w:val="5"/>
        <w:numPr>
          <w:ilvl w:val="2"/>
          <w:numId w:val="16"/>
        </w:numPr>
      </w:pPr>
      <w:r>
        <w:rPr>
          <w:rFonts w:hint="eastAsia"/>
        </w:rPr>
        <w:t>医共体物资系统</w:t>
      </w:r>
    </w:p>
    <w:p w14:paraId="4945F151">
      <w:pPr>
        <w:pStyle w:val="3"/>
      </w:pPr>
      <w:r>
        <w:rPr>
          <w:rFonts w:hint="eastAsia"/>
        </w:rPr>
        <w:t>基于乌拉特前旗人民医院的物资系统，覆盖基层机构。</w:t>
      </w:r>
      <w:r>
        <w:rPr>
          <w:rFonts w:hint="eastAsia" w:asciiTheme="minorEastAsia" w:hAnsiTheme="minorEastAsia" w:eastAsiaTheme="minorEastAsia"/>
        </w:rPr>
        <w:t>支持以下功能：</w:t>
      </w:r>
    </w:p>
    <w:tbl>
      <w:tblPr>
        <w:tblStyle w:val="4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2"/>
        <w:gridCol w:w="6898"/>
      </w:tblGrid>
      <w:tr w14:paraId="5F73C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tcPr>
          <w:p w14:paraId="1B8CBE2E">
            <w:pPr>
              <w:pStyle w:val="19"/>
              <w:spacing w:after="0" w:line="240" w:lineRule="auto"/>
              <w:ind w:left="480"/>
            </w:pPr>
            <w:r>
              <w:rPr>
                <w:rFonts w:hint="eastAsia"/>
              </w:rPr>
              <w:t>招标内容</w:t>
            </w:r>
          </w:p>
        </w:tc>
        <w:tc>
          <w:tcPr>
            <w:tcW w:w="3807" w:type="pct"/>
          </w:tcPr>
          <w:p w14:paraId="6A9BC7AC">
            <w:pPr>
              <w:pStyle w:val="19"/>
              <w:spacing w:after="0" w:line="240" w:lineRule="auto"/>
              <w:ind w:left="480"/>
            </w:pPr>
            <w:r>
              <w:rPr>
                <w:rFonts w:hint="eastAsia"/>
              </w:rPr>
              <w:t>具体要求</w:t>
            </w:r>
          </w:p>
        </w:tc>
      </w:tr>
      <w:tr w14:paraId="2D8F3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tcPr>
          <w:p w14:paraId="488BD3C1">
            <w:pPr>
              <w:pStyle w:val="175"/>
              <w:spacing w:line="240" w:lineRule="auto"/>
              <w:ind w:left="480" w:firstLine="0" w:firstLineChars="0"/>
            </w:pPr>
            <w:r>
              <w:rPr>
                <w:rFonts w:hint="eastAsia"/>
              </w:rPr>
              <w:t>首页</w:t>
            </w:r>
          </w:p>
        </w:tc>
        <w:tc>
          <w:tcPr>
            <w:tcW w:w="3807" w:type="pct"/>
          </w:tcPr>
          <w:p w14:paraId="5D395422">
            <w:pPr>
              <w:pStyle w:val="7"/>
              <w:numPr>
                <w:ilvl w:val="0"/>
                <w:numId w:val="0"/>
              </w:numPr>
              <w:spacing w:line="240" w:lineRule="auto"/>
              <w:outlineLvl w:val="4"/>
            </w:pPr>
            <w:r>
              <w:rPr>
                <w:rFonts w:hint="eastAsia"/>
              </w:rPr>
              <w:t>全院耗材数据展示</w:t>
            </w:r>
          </w:p>
          <w:p w14:paraId="7C7A4C81">
            <w:pPr>
              <w:pStyle w:val="3"/>
              <w:spacing w:line="240" w:lineRule="auto"/>
              <w:ind w:left="480" w:firstLine="0" w:firstLineChars="0"/>
            </w:pPr>
            <w:r>
              <w:t>展示全院耗材管理概况，以柱状图、饼图、折现图等图表直观展示一级二级仓库耗材出入库统计、及全院各科室领用、耗材使用等情况。</w:t>
            </w:r>
          </w:p>
          <w:p w14:paraId="4E2E2B61">
            <w:pPr>
              <w:pStyle w:val="7"/>
              <w:numPr>
                <w:ilvl w:val="0"/>
                <w:numId w:val="0"/>
              </w:numPr>
              <w:spacing w:line="240" w:lineRule="auto"/>
              <w:outlineLvl w:val="4"/>
            </w:pPr>
            <w:r>
              <w:rPr>
                <w:rFonts w:hint="eastAsia"/>
              </w:rPr>
              <w:t>待办流程</w:t>
            </w:r>
          </w:p>
          <w:p w14:paraId="188D1985">
            <w:pPr>
              <w:pStyle w:val="3"/>
              <w:spacing w:line="240" w:lineRule="auto"/>
              <w:ind w:left="480" w:firstLine="0" w:firstLineChars="0"/>
            </w:pPr>
            <w:r>
              <w:t>分类展示当前用户下的待办事项数量，点击可直接跳转到对应待办事项处理</w:t>
            </w:r>
            <w:r>
              <w:rPr>
                <w:rFonts w:hint="eastAsia"/>
              </w:rPr>
              <w:t>操作界面。</w:t>
            </w:r>
          </w:p>
          <w:p w14:paraId="6A4F138E">
            <w:pPr>
              <w:pStyle w:val="7"/>
              <w:numPr>
                <w:ilvl w:val="0"/>
                <w:numId w:val="0"/>
              </w:numPr>
              <w:spacing w:line="240" w:lineRule="auto"/>
              <w:outlineLvl w:val="4"/>
            </w:pPr>
            <w:r>
              <w:rPr>
                <w:rFonts w:hint="eastAsia"/>
              </w:rPr>
              <w:t>常用插件下载</w:t>
            </w:r>
          </w:p>
          <w:p w14:paraId="2AF645C8">
            <w:pPr>
              <w:pStyle w:val="3"/>
              <w:spacing w:line="240" w:lineRule="auto"/>
              <w:ind w:left="480" w:firstLine="0" w:firstLineChars="0"/>
            </w:pPr>
            <w:r>
              <w:t>展示常用插件及软件下载链接，点击可以直接下载进行安装。</w:t>
            </w:r>
          </w:p>
        </w:tc>
      </w:tr>
      <w:tr w14:paraId="775E5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tcPr>
          <w:p w14:paraId="0E969693">
            <w:pPr>
              <w:pStyle w:val="19"/>
              <w:spacing w:after="0" w:line="240" w:lineRule="auto"/>
              <w:ind w:left="480"/>
            </w:pPr>
            <w:r>
              <w:rPr>
                <w:rFonts w:hint="eastAsia"/>
              </w:rPr>
              <w:t>普耗管理</w:t>
            </w:r>
            <w:r>
              <w:t>-耗材采购</w:t>
            </w:r>
          </w:p>
        </w:tc>
        <w:tc>
          <w:tcPr>
            <w:tcW w:w="3807" w:type="pct"/>
          </w:tcPr>
          <w:p w14:paraId="13A4D2DF">
            <w:pPr>
              <w:pStyle w:val="7"/>
              <w:numPr>
                <w:ilvl w:val="0"/>
                <w:numId w:val="0"/>
              </w:numPr>
              <w:spacing w:line="240" w:lineRule="auto"/>
              <w:outlineLvl w:val="4"/>
            </w:pPr>
            <w:r>
              <w:rPr>
                <w:rFonts w:hint="eastAsia"/>
              </w:rPr>
              <w:t>耗材申购</w:t>
            </w:r>
          </w:p>
          <w:p w14:paraId="03F139A7">
            <w:pPr>
              <w:pStyle w:val="3"/>
              <w:spacing w:line="240" w:lineRule="auto"/>
              <w:ind w:left="480" w:firstLine="0" w:firstLineChars="0"/>
            </w:pPr>
            <w:r>
              <w:rPr>
                <w:rFonts w:hint="eastAsia"/>
              </w:rPr>
              <w:t>医院科室可在线发起普通耗材采购申请，对库存中没有的医用耗材进行采购申请，通知耗材管理部门进行耗材采购。</w:t>
            </w:r>
          </w:p>
          <w:p w14:paraId="47519715">
            <w:pPr>
              <w:pStyle w:val="7"/>
              <w:numPr>
                <w:ilvl w:val="0"/>
                <w:numId w:val="0"/>
              </w:numPr>
              <w:spacing w:line="240" w:lineRule="auto"/>
              <w:outlineLvl w:val="4"/>
            </w:pPr>
            <w:r>
              <w:rPr>
                <w:rFonts w:hint="eastAsia"/>
              </w:rPr>
              <w:t>耗材申领</w:t>
            </w:r>
          </w:p>
          <w:p w14:paraId="2DBDFA54">
            <w:pPr>
              <w:pStyle w:val="3"/>
              <w:spacing w:line="240" w:lineRule="auto"/>
              <w:ind w:left="480" w:firstLine="0" w:firstLineChars="0"/>
            </w:pPr>
            <w:r>
              <w:t>医院科室可在线发起普通耗材申领，对已有库存的医院耗材进行申请领用，</w:t>
            </w:r>
            <w:r>
              <w:rPr>
                <w:rFonts w:hint="eastAsia"/>
              </w:rPr>
              <w:t>耗材管理部门可根据申领单进行领用单据打印和发货出库。</w:t>
            </w:r>
          </w:p>
          <w:p w14:paraId="4FC4C67A">
            <w:pPr>
              <w:pStyle w:val="7"/>
              <w:numPr>
                <w:ilvl w:val="0"/>
                <w:numId w:val="0"/>
              </w:numPr>
              <w:spacing w:line="240" w:lineRule="auto"/>
              <w:outlineLvl w:val="4"/>
            </w:pPr>
            <w:r>
              <w:rPr>
                <w:rFonts w:hint="eastAsia"/>
              </w:rPr>
              <w:t>耗材科室月度计划</w:t>
            </w:r>
          </w:p>
          <w:p w14:paraId="75047B58">
            <w:pPr>
              <w:pStyle w:val="3"/>
              <w:spacing w:line="240" w:lineRule="auto"/>
              <w:ind w:left="480" w:firstLine="0" w:firstLineChars="0"/>
            </w:pPr>
            <w:r>
              <w:t>医院科室可在线发起科室月度采购计划，耗材管理部门可根据科室月度计划进行耗材采购和发货。</w:t>
            </w:r>
          </w:p>
          <w:p w14:paraId="47C90381">
            <w:pPr>
              <w:pStyle w:val="7"/>
              <w:numPr>
                <w:ilvl w:val="0"/>
                <w:numId w:val="0"/>
              </w:numPr>
              <w:spacing w:line="240" w:lineRule="auto"/>
              <w:outlineLvl w:val="4"/>
            </w:pPr>
            <w:r>
              <w:rPr>
                <w:rFonts w:hint="eastAsia"/>
              </w:rPr>
              <w:t>耗材申请审核</w:t>
            </w:r>
          </w:p>
          <w:p w14:paraId="69B5644E">
            <w:pPr>
              <w:pStyle w:val="3"/>
              <w:spacing w:line="240" w:lineRule="auto"/>
              <w:ind w:left="480" w:firstLine="0" w:firstLineChars="0"/>
            </w:pPr>
            <w:r>
              <w:t>医院耗材管理部门可分别对科室的申购单据、申领单据和月度计划进行审核同时支持自定义多级审批流程。</w:t>
            </w:r>
          </w:p>
          <w:p w14:paraId="6D3EBD53">
            <w:pPr>
              <w:pStyle w:val="7"/>
              <w:numPr>
                <w:ilvl w:val="0"/>
                <w:numId w:val="0"/>
              </w:numPr>
              <w:spacing w:line="240" w:lineRule="auto"/>
              <w:outlineLvl w:val="4"/>
            </w:pPr>
            <w:r>
              <w:rPr>
                <w:rFonts w:hint="eastAsia"/>
              </w:rPr>
              <w:t>采购计划</w:t>
            </w:r>
          </w:p>
          <w:p w14:paraId="336DB1EA">
            <w:pPr>
              <w:pStyle w:val="3"/>
              <w:spacing w:line="240" w:lineRule="auto"/>
              <w:ind w:left="480" w:firstLine="0" w:firstLineChars="0"/>
            </w:pPr>
            <w:r>
              <w:t>医院耗材管理部门可依据科室发起的采购申请、月度计划制定耗材采购计划</w:t>
            </w:r>
          </w:p>
          <w:p w14:paraId="22DE6348">
            <w:pPr>
              <w:pStyle w:val="7"/>
              <w:numPr>
                <w:ilvl w:val="0"/>
                <w:numId w:val="0"/>
              </w:numPr>
              <w:spacing w:line="240" w:lineRule="auto"/>
              <w:outlineLvl w:val="4"/>
            </w:pPr>
            <w:r>
              <w:rPr>
                <w:rFonts w:hint="eastAsia"/>
              </w:rPr>
              <w:t>采购计划审核</w:t>
            </w:r>
          </w:p>
          <w:p w14:paraId="6992C47E">
            <w:pPr>
              <w:pStyle w:val="3"/>
              <w:spacing w:line="240" w:lineRule="auto"/>
              <w:ind w:left="480" w:firstLine="0" w:firstLineChars="0"/>
            </w:pPr>
            <w:r>
              <w:t>医院耗材管理部门可对耗材采购计划进行在线审核，同时支持自定义多级审</w:t>
            </w:r>
            <w:r>
              <w:rPr>
                <w:rFonts w:hint="eastAsia"/>
              </w:rPr>
              <w:t>批流程。</w:t>
            </w:r>
          </w:p>
          <w:p w14:paraId="336658F5">
            <w:pPr>
              <w:pStyle w:val="7"/>
              <w:numPr>
                <w:ilvl w:val="0"/>
                <w:numId w:val="0"/>
              </w:numPr>
              <w:spacing w:line="240" w:lineRule="auto"/>
              <w:outlineLvl w:val="4"/>
            </w:pPr>
            <w:r>
              <w:rPr>
                <w:rFonts w:hint="eastAsia"/>
              </w:rPr>
              <w:t>采购订单</w:t>
            </w:r>
          </w:p>
          <w:p w14:paraId="0949F76A">
            <w:pPr>
              <w:pStyle w:val="3"/>
              <w:spacing w:line="240" w:lineRule="auto"/>
              <w:ind w:left="480" w:firstLine="0" w:firstLineChars="0"/>
            </w:pPr>
            <w:r>
              <w:t>1、审核通过的采购计划自动生成采购订单，支持采购订单多条件检索及导出，方便医院耗材管理部门将采购订单发给供应商</w:t>
            </w:r>
          </w:p>
          <w:p w14:paraId="6F205EF0">
            <w:pPr>
              <w:pStyle w:val="7"/>
              <w:numPr>
                <w:ilvl w:val="0"/>
                <w:numId w:val="0"/>
              </w:numPr>
              <w:spacing w:line="240" w:lineRule="auto"/>
              <w:outlineLvl w:val="4"/>
            </w:pPr>
            <w:r>
              <w:rPr>
                <w:rFonts w:hint="eastAsia"/>
              </w:rPr>
              <w:t>采购入库</w:t>
            </w:r>
          </w:p>
          <w:p w14:paraId="67D9ADCB">
            <w:pPr>
              <w:pStyle w:val="3"/>
              <w:spacing w:line="240" w:lineRule="auto"/>
              <w:ind w:left="480" w:firstLine="0" w:firstLineChars="0"/>
            </w:pPr>
            <w:r>
              <w:t>1、医院耗材管理部门可根据供应商送货单进行普通耗材采购入库，检索耗材字典信息自动带出耗材的名称、规格型号、采购单价、供应商等基础信息， 可录入耗材的批次号、生产日期、有效期、入库数量等信息进行入库。</w:t>
            </w:r>
          </w:p>
          <w:p w14:paraId="795D3414">
            <w:pPr>
              <w:pStyle w:val="3"/>
              <w:spacing w:line="240" w:lineRule="auto"/>
              <w:ind w:left="480" w:firstLine="0" w:firstLineChars="0"/>
            </w:pPr>
            <w:r>
              <w:t>2、支持直接引用采购订单进行一键入库，同时支持可填写入库科室进行直入直出，自动生成科室领用单，领用单据过账后直接入库到科室库存。</w:t>
            </w:r>
          </w:p>
          <w:p w14:paraId="24F0C025">
            <w:pPr>
              <w:pStyle w:val="3"/>
              <w:spacing w:line="240" w:lineRule="auto"/>
              <w:ind w:left="480" w:firstLine="0" w:firstLineChars="0"/>
            </w:pPr>
            <w:r>
              <w:t>3、可以打印入库单据，入库单据打印模板可以根据医院管理要求进行自定义</w:t>
            </w:r>
            <w:r>
              <w:rPr>
                <w:rFonts w:hint="eastAsia"/>
              </w:rPr>
              <w:t>修改。</w:t>
            </w:r>
          </w:p>
        </w:tc>
      </w:tr>
      <w:tr w14:paraId="2E17E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tcPr>
          <w:p w14:paraId="4D2D2ED3">
            <w:pPr>
              <w:pStyle w:val="3"/>
              <w:spacing w:line="240" w:lineRule="auto"/>
              <w:ind w:left="480" w:firstLine="0" w:firstLineChars="0"/>
            </w:pPr>
            <w:r>
              <w:rPr>
                <w:rFonts w:hint="eastAsia"/>
              </w:rPr>
              <w:t>普耗管理</w:t>
            </w:r>
            <w:r>
              <w:t>-一级仓库管理</w:t>
            </w:r>
          </w:p>
          <w:p w14:paraId="647F5592">
            <w:pPr>
              <w:pStyle w:val="19"/>
              <w:spacing w:after="0" w:line="240" w:lineRule="auto"/>
              <w:ind w:left="480"/>
            </w:pPr>
          </w:p>
        </w:tc>
        <w:tc>
          <w:tcPr>
            <w:tcW w:w="3807" w:type="pct"/>
          </w:tcPr>
          <w:p w14:paraId="4ACEE9C7">
            <w:pPr>
              <w:pStyle w:val="7"/>
              <w:numPr>
                <w:ilvl w:val="0"/>
                <w:numId w:val="0"/>
              </w:numPr>
              <w:spacing w:line="240" w:lineRule="auto"/>
              <w:outlineLvl w:val="4"/>
            </w:pPr>
            <w:r>
              <w:rPr>
                <w:rFonts w:hint="eastAsia"/>
              </w:rPr>
              <w:t>科室领用</w:t>
            </w:r>
          </w:p>
          <w:p w14:paraId="4059DADA">
            <w:pPr>
              <w:pStyle w:val="3"/>
              <w:spacing w:line="240" w:lineRule="auto"/>
              <w:ind w:left="480" w:firstLine="0" w:firstLineChars="0"/>
            </w:pPr>
            <w:r>
              <w:t>1、同时支持引用科室申请单和手动添加耗材明细进行科室耗材领用出库</w:t>
            </w:r>
          </w:p>
          <w:p w14:paraId="48F82E92">
            <w:pPr>
              <w:pStyle w:val="3"/>
              <w:spacing w:line="240" w:lineRule="auto"/>
              <w:ind w:left="480" w:firstLine="0" w:firstLineChars="0"/>
            </w:pPr>
            <w:r>
              <w:t>2、生成领用单后可打印科室领用出库单据，出库单据打印模板可以根据医院管理要求进行自定义修改。</w:t>
            </w:r>
          </w:p>
          <w:p w14:paraId="28F4F713">
            <w:pPr>
              <w:pStyle w:val="7"/>
              <w:numPr>
                <w:ilvl w:val="0"/>
                <w:numId w:val="0"/>
              </w:numPr>
              <w:spacing w:line="240" w:lineRule="auto"/>
              <w:outlineLvl w:val="4"/>
            </w:pPr>
            <w:r>
              <w:rPr>
                <w:rFonts w:hint="eastAsia"/>
              </w:rPr>
              <w:t>库存查询</w:t>
            </w:r>
          </w:p>
          <w:p w14:paraId="2EB50348">
            <w:pPr>
              <w:pStyle w:val="3"/>
              <w:spacing w:line="240" w:lineRule="auto"/>
              <w:ind w:left="480" w:firstLine="0" w:firstLineChars="0"/>
            </w:pPr>
            <w:r>
              <w:t>医院耗材管理部门可对普通耗材一级库存进行实时查询，可通过不同仓库、耗材编号名称、耗材分类、批次号等多条件进行检索，并支持一键导出 EXCEL 文件。</w:t>
            </w:r>
          </w:p>
          <w:p w14:paraId="67CF3654">
            <w:pPr>
              <w:pStyle w:val="7"/>
              <w:numPr>
                <w:ilvl w:val="0"/>
                <w:numId w:val="0"/>
              </w:numPr>
              <w:spacing w:line="240" w:lineRule="auto"/>
              <w:outlineLvl w:val="4"/>
            </w:pPr>
            <w:r>
              <w:rPr>
                <w:rFonts w:hint="eastAsia"/>
              </w:rPr>
              <w:t>退货退库</w:t>
            </w:r>
          </w:p>
          <w:p w14:paraId="535AEE5A">
            <w:pPr>
              <w:pStyle w:val="3"/>
              <w:spacing w:line="240" w:lineRule="auto"/>
              <w:ind w:left="480" w:firstLine="0" w:firstLineChars="0"/>
            </w:pPr>
            <w:r>
              <w:t>支持普通耗材在线退货供应商，医院耗材管理部门可将发错货或不用的普通耗材退货给供应商，进行仓库退库处理，并支持在线打印退货单。</w:t>
            </w:r>
          </w:p>
          <w:p w14:paraId="697A9580">
            <w:pPr>
              <w:pStyle w:val="7"/>
              <w:numPr>
                <w:ilvl w:val="0"/>
                <w:numId w:val="0"/>
              </w:numPr>
              <w:spacing w:line="240" w:lineRule="auto"/>
              <w:outlineLvl w:val="4"/>
            </w:pPr>
            <w:r>
              <w:t>耗材报废报损</w:t>
            </w:r>
          </w:p>
          <w:p w14:paraId="54D62D1E">
            <w:pPr>
              <w:pStyle w:val="3"/>
              <w:spacing w:line="240" w:lineRule="auto"/>
              <w:ind w:left="480" w:firstLine="0" w:firstLineChars="0"/>
            </w:pPr>
            <w:r>
              <w:t>支持普通耗材报废报损功能</w:t>
            </w:r>
            <w:r>
              <w:rPr>
                <w:rFonts w:hint="eastAsia"/>
              </w:rPr>
              <w:t>，</w:t>
            </w:r>
            <w:r>
              <w:t>医院耗材管理部门可将仓库中损耗报废的耗材</w:t>
            </w:r>
            <w:r>
              <w:rPr>
                <w:rFonts w:hint="eastAsia"/>
              </w:rPr>
              <w:t>进行报损退库处理，并支持在线打印报损报废单据。</w:t>
            </w:r>
          </w:p>
          <w:p w14:paraId="5049DEAA">
            <w:pPr>
              <w:pStyle w:val="7"/>
              <w:numPr>
                <w:ilvl w:val="0"/>
                <w:numId w:val="0"/>
              </w:numPr>
              <w:spacing w:line="240" w:lineRule="auto"/>
              <w:outlineLvl w:val="4"/>
            </w:pPr>
            <w:r>
              <w:rPr>
                <w:rFonts w:hint="eastAsia"/>
              </w:rPr>
              <w:t>转仓出库</w:t>
            </w:r>
          </w:p>
          <w:p w14:paraId="2A92F451">
            <w:pPr>
              <w:pStyle w:val="3"/>
              <w:spacing w:line="240" w:lineRule="auto"/>
              <w:ind w:left="480" w:firstLine="0" w:firstLineChars="0"/>
            </w:pPr>
            <w:r>
              <w:t>医院耗材管理部门可将仓库中的普通耗材转仓出库到其他仓库，并支持在线打印转仓出库单据。</w:t>
            </w:r>
          </w:p>
          <w:p w14:paraId="11B12CBD">
            <w:pPr>
              <w:pStyle w:val="7"/>
              <w:numPr>
                <w:ilvl w:val="0"/>
                <w:numId w:val="0"/>
              </w:numPr>
              <w:spacing w:line="240" w:lineRule="auto"/>
              <w:outlineLvl w:val="4"/>
            </w:pPr>
            <w:r>
              <w:rPr>
                <w:rFonts w:hint="eastAsia"/>
              </w:rPr>
              <w:t>一级库耗材盘点</w:t>
            </w:r>
          </w:p>
          <w:p w14:paraId="21B9BE33">
            <w:pPr>
              <w:pStyle w:val="3"/>
              <w:spacing w:line="240" w:lineRule="auto"/>
              <w:ind w:left="480" w:firstLine="0" w:firstLineChars="0"/>
            </w:pPr>
            <w:r>
              <w:t>1、支持一级库存耗材在线盘点，可自动生成盘点单，并对盘点单数据进行填报，盘点审核通过后自动对库存数据进行保存；</w:t>
            </w:r>
          </w:p>
          <w:p w14:paraId="67039F7C">
            <w:pPr>
              <w:pStyle w:val="3"/>
              <w:spacing w:line="240" w:lineRule="auto"/>
              <w:ind w:left="480" w:firstLine="0" w:firstLineChars="0"/>
            </w:pPr>
            <w:r>
              <w:t>2、盘点完成后可自动生成盘点盈亏统计报表，并可通过耗材名称、盘点单号</w:t>
            </w:r>
            <w:r>
              <w:rPr>
                <w:rFonts w:hint="eastAsia"/>
              </w:rPr>
              <w:t>、盘点日期等检索条件进行查询。</w:t>
            </w:r>
          </w:p>
        </w:tc>
      </w:tr>
      <w:tr w14:paraId="5C888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tcPr>
          <w:p w14:paraId="6A3755DC">
            <w:pPr>
              <w:pStyle w:val="19"/>
              <w:spacing w:after="0" w:line="240" w:lineRule="auto"/>
              <w:ind w:left="480"/>
            </w:pPr>
            <w:r>
              <w:rPr>
                <w:rFonts w:hint="eastAsia"/>
              </w:rPr>
              <w:t>普耗管理</w:t>
            </w:r>
            <w:r>
              <w:t>-二级仓库管理</w:t>
            </w:r>
          </w:p>
        </w:tc>
        <w:tc>
          <w:tcPr>
            <w:tcW w:w="3807" w:type="pct"/>
          </w:tcPr>
          <w:p w14:paraId="7ACECC80">
            <w:pPr>
              <w:pStyle w:val="7"/>
              <w:numPr>
                <w:ilvl w:val="0"/>
                <w:numId w:val="0"/>
              </w:numPr>
              <w:spacing w:line="240" w:lineRule="auto"/>
              <w:outlineLvl w:val="4"/>
            </w:pPr>
            <w:r>
              <w:rPr>
                <w:rFonts w:hint="eastAsia"/>
              </w:rPr>
              <w:t>科室库存查询</w:t>
            </w:r>
          </w:p>
          <w:p w14:paraId="060C9528">
            <w:pPr>
              <w:pStyle w:val="3"/>
              <w:spacing w:line="240" w:lineRule="auto"/>
              <w:ind w:left="480" w:firstLine="0" w:firstLineChars="0"/>
            </w:pPr>
            <w:r>
              <w:t>医院科室可实时查询科室二级库存信息，可通过耗材名称、批次号、分类、品牌等检索条件实时查询科室耗材库存信息。</w:t>
            </w:r>
          </w:p>
          <w:p w14:paraId="1007BD36">
            <w:pPr>
              <w:pStyle w:val="7"/>
              <w:numPr>
                <w:ilvl w:val="0"/>
                <w:numId w:val="0"/>
              </w:numPr>
              <w:spacing w:line="240" w:lineRule="auto"/>
              <w:outlineLvl w:val="4"/>
            </w:pPr>
            <w:r>
              <w:rPr>
                <w:rFonts w:hint="eastAsia"/>
              </w:rPr>
              <w:t>科室退库</w:t>
            </w:r>
          </w:p>
          <w:p w14:paraId="619EB356">
            <w:pPr>
              <w:pStyle w:val="3"/>
              <w:spacing w:line="240" w:lineRule="auto"/>
              <w:ind w:left="480" w:firstLine="0" w:firstLineChars="0"/>
            </w:pPr>
            <w:r>
              <w:t>医院各科室可在线发起退库申请，选择科室库存中要退库的耗材并填写退库数量，由医院耗材管理部门进行在线审批后，耗材即可从科室二级库存退到</w:t>
            </w:r>
            <w:r>
              <w:rPr>
                <w:rFonts w:hint="eastAsia"/>
              </w:rPr>
              <w:t>一级库存。</w:t>
            </w:r>
          </w:p>
          <w:p w14:paraId="755C62EE">
            <w:pPr>
              <w:pStyle w:val="7"/>
              <w:numPr>
                <w:ilvl w:val="0"/>
                <w:numId w:val="0"/>
              </w:numPr>
              <w:spacing w:line="240" w:lineRule="auto"/>
              <w:outlineLvl w:val="4"/>
            </w:pPr>
            <w:r>
              <w:rPr>
                <w:rFonts w:hint="eastAsia"/>
              </w:rPr>
              <w:t>耗材使用</w:t>
            </w:r>
          </w:p>
          <w:p w14:paraId="2C83A3CC">
            <w:pPr>
              <w:pStyle w:val="3"/>
              <w:spacing w:line="240" w:lineRule="auto"/>
              <w:ind w:left="480" w:firstLine="0" w:firstLineChars="0"/>
            </w:pPr>
            <w:r>
              <w:t>可手动添加耗材使用明细进行登记，也可对接医院HIS 收费系统进行普通耗材使用自动记录，并自动扣减科室二级库存。</w:t>
            </w:r>
          </w:p>
          <w:p w14:paraId="632D4C88">
            <w:pPr>
              <w:pStyle w:val="7"/>
              <w:numPr>
                <w:ilvl w:val="0"/>
                <w:numId w:val="0"/>
              </w:numPr>
              <w:spacing w:line="240" w:lineRule="auto"/>
              <w:outlineLvl w:val="4"/>
            </w:pPr>
            <w:r>
              <w:t>科室库存预警</w:t>
            </w:r>
          </w:p>
          <w:p w14:paraId="6228D4C1">
            <w:pPr>
              <w:pStyle w:val="3"/>
              <w:spacing w:line="240" w:lineRule="auto"/>
              <w:ind w:left="480" w:firstLine="0" w:firstLineChars="0"/>
            </w:pPr>
            <w:r>
              <w:t>医院科室可自定义设置普通耗材的库存上限、库存下限及领用上限，并在科</w:t>
            </w:r>
            <w:r>
              <w:rPr>
                <w:rFonts w:hint="eastAsia"/>
              </w:rPr>
              <w:t>室库存中进行提醒。</w:t>
            </w:r>
          </w:p>
          <w:p w14:paraId="4480EB7A">
            <w:pPr>
              <w:pStyle w:val="7"/>
              <w:numPr>
                <w:ilvl w:val="0"/>
                <w:numId w:val="0"/>
              </w:numPr>
              <w:spacing w:line="240" w:lineRule="auto"/>
              <w:outlineLvl w:val="4"/>
            </w:pPr>
            <w:r>
              <w:t>科室库存盘点</w:t>
            </w:r>
          </w:p>
          <w:p w14:paraId="4E3E2143">
            <w:pPr>
              <w:pStyle w:val="3"/>
              <w:spacing w:line="240" w:lineRule="auto"/>
              <w:ind w:left="480" w:firstLine="0" w:firstLineChars="0"/>
            </w:pPr>
            <w:r>
              <w:t>医院科室可对科室二级库存进行在线盘点，录入盘点数据并进行审核，可通过日期检索盘点盈亏统计。</w:t>
            </w:r>
          </w:p>
        </w:tc>
      </w:tr>
      <w:tr w14:paraId="5E5A7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tcPr>
          <w:p w14:paraId="6570CBDD">
            <w:pPr>
              <w:pStyle w:val="3"/>
              <w:spacing w:line="240" w:lineRule="auto"/>
              <w:ind w:left="480" w:firstLine="0" w:firstLineChars="0"/>
            </w:pPr>
            <w:r>
              <w:rPr>
                <w:rFonts w:hint="eastAsia"/>
              </w:rPr>
              <w:t>普耗报表</w:t>
            </w:r>
          </w:p>
          <w:p w14:paraId="38B6B29F">
            <w:pPr>
              <w:pStyle w:val="19"/>
              <w:spacing w:after="0" w:line="240" w:lineRule="auto"/>
              <w:ind w:left="480"/>
            </w:pPr>
          </w:p>
        </w:tc>
        <w:tc>
          <w:tcPr>
            <w:tcW w:w="3807" w:type="pct"/>
          </w:tcPr>
          <w:p w14:paraId="399C5355">
            <w:pPr>
              <w:pStyle w:val="7"/>
              <w:numPr>
                <w:ilvl w:val="0"/>
                <w:numId w:val="0"/>
              </w:numPr>
              <w:spacing w:line="240" w:lineRule="auto"/>
              <w:outlineLvl w:val="4"/>
            </w:pPr>
            <w:r>
              <w:rPr>
                <w:rFonts w:hint="eastAsia"/>
              </w:rPr>
              <w:t>普耗科室申请</w:t>
            </w:r>
          </w:p>
          <w:p w14:paraId="2D61CD92">
            <w:pPr>
              <w:pStyle w:val="3"/>
              <w:spacing w:line="240" w:lineRule="auto"/>
              <w:ind w:left="480" w:firstLine="0" w:firstLineChars="0"/>
            </w:pPr>
            <w:r>
              <w:t>可通过科室、日期等条件检索和查询医院所有科室的普通耗材申购及申请的耗材明细、审核状态信息，并支持一键导出EXCEL 文档。</w:t>
            </w:r>
          </w:p>
          <w:p w14:paraId="142C3319">
            <w:pPr>
              <w:pStyle w:val="7"/>
              <w:numPr>
                <w:ilvl w:val="0"/>
                <w:numId w:val="0"/>
              </w:numPr>
              <w:spacing w:line="240" w:lineRule="auto"/>
              <w:outlineLvl w:val="4"/>
            </w:pPr>
            <w:r>
              <w:t>普耗科室月度</w:t>
            </w:r>
            <w:r>
              <w:rPr>
                <w:rFonts w:hint="eastAsia"/>
              </w:rPr>
              <w:t>计划</w:t>
            </w:r>
          </w:p>
          <w:p w14:paraId="440BACD2">
            <w:pPr>
              <w:pStyle w:val="3"/>
              <w:spacing w:line="240" w:lineRule="auto"/>
              <w:ind w:left="480" w:firstLine="0" w:firstLineChars="0"/>
            </w:pPr>
            <w:r>
              <w:t>可通过科室、日期等条件检索和查询医院所有科室的普通耗材月度采购计划</w:t>
            </w:r>
            <w:r>
              <w:rPr>
                <w:rFonts w:hint="eastAsia"/>
              </w:rPr>
              <w:t>的耗材明细、审核状态信息，并支持一键导出</w:t>
            </w:r>
            <w:r>
              <w:t>EXCEL 文档。</w:t>
            </w:r>
          </w:p>
          <w:p w14:paraId="74463BA1">
            <w:pPr>
              <w:pStyle w:val="7"/>
              <w:numPr>
                <w:ilvl w:val="0"/>
                <w:numId w:val="0"/>
              </w:numPr>
              <w:spacing w:line="240" w:lineRule="auto"/>
              <w:outlineLvl w:val="4"/>
            </w:pPr>
            <w:r>
              <w:rPr>
                <w:rFonts w:hint="eastAsia"/>
              </w:rPr>
              <w:t>采购订单明细</w:t>
            </w:r>
          </w:p>
          <w:p w14:paraId="0E45AFB8">
            <w:pPr>
              <w:pStyle w:val="3"/>
              <w:spacing w:line="240" w:lineRule="auto"/>
              <w:ind w:left="480" w:firstLine="0" w:firstLineChars="0"/>
            </w:pPr>
            <w:r>
              <w:t>可通过采购订单号、耗材名称、供应商、日期等条件检索和查询医院普通耗材采购订单的耗材明细、审核状态信息，并支持一键导出EXCEL 文档和在线</w:t>
            </w:r>
            <w:r>
              <w:rPr>
                <w:rFonts w:hint="eastAsia"/>
              </w:rPr>
              <w:t>打印功能。</w:t>
            </w:r>
          </w:p>
          <w:p w14:paraId="06395E5D">
            <w:pPr>
              <w:pStyle w:val="7"/>
              <w:numPr>
                <w:ilvl w:val="0"/>
                <w:numId w:val="0"/>
              </w:numPr>
              <w:spacing w:line="240" w:lineRule="auto"/>
              <w:outlineLvl w:val="4"/>
            </w:pPr>
            <w:r>
              <w:t>耗材使用汇总</w:t>
            </w:r>
          </w:p>
          <w:p w14:paraId="3A8E81C6">
            <w:pPr>
              <w:pStyle w:val="3"/>
              <w:spacing w:line="240" w:lineRule="auto"/>
              <w:ind w:left="480" w:firstLine="0" w:firstLineChars="0"/>
            </w:pPr>
            <w:r>
              <w:t>可通过科室、日期、批号等条件检索和查询医院所有科室的普通耗材使用消</w:t>
            </w:r>
            <w:r>
              <w:rPr>
                <w:rFonts w:hint="eastAsia"/>
              </w:rPr>
              <w:t>耗明细信息，并支持一键导出</w:t>
            </w:r>
            <w:r>
              <w:t>EXCEL 文档。</w:t>
            </w:r>
          </w:p>
          <w:p w14:paraId="610E93A3">
            <w:pPr>
              <w:pStyle w:val="7"/>
              <w:numPr>
                <w:ilvl w:val="0"/>
                <w:numId w:val="0"/>
              </w:numPr>
              <w:spacing w:line="240" w:lineRule="auto"/>
              <w:outlineLvl w:val="4"/>
            </w:pPr>
            <w:r>
              <w:t>耗材采购明细</w:t>
            </w:r>
          </w:p>
          <w:p w14:paraId="2B490A3E">
            <w:pPr>
              <w:pStyle w:val="3"/>
              <w:spacing w:line="240" w:lineRule="auto"/>
              <w:ind w:left="480" w:firstLine="0" w:firstLineChars="0"/>
            </w:pPr>
            <w:r>
              <w:t>可通过入库单号、入库日期、供应商等条件检索和查询医院所有普通耗材采</w:t>
            </w:r>
            <w:r>
              <w:rPr>
                <w:rFonts w:hint="eastAsia"/>
              </w:rPr>
              <w:t>购入库明细信息，并支持一键导出</w:t>
            </w:r>
            <w:r>
              <w:t xml:space="preserve"> EXCEL 文档。</w:t>
            </w:r>
          </w:p>
          <w:p w14:paraId="64A51802">
            <w:pPr>
              <w:pStyle w:val="7"/>
              <w:numPr>
                <w:ilvl w:val="0"/>
                <w:numId w:val="0"/>
              </w:numPr>
              <w:spacing w:line="240" w:lineRule="auto"/>
              <w:outlineLvl w:val="4"/>
            </w:pPr>
            <w:r>
              <w:t>科室领用明细</w:t>
            </w:r>
          </w:p>
          <w:p w14:paraId="34015379">
            <w:pPr>
              <w:pStyle w:val="3"/>
              <w:spacing w:line="240" w:lineRule="auto"/>
              <w:ind w:left="480" w:firstLine="0" w:firstLineChars="0"/>
            </w:pPr>
            <w:r>
              <w:t>可通过领用单号、科室、日期等条件检索和查询医院所有科室的普通耗材领</w:t>
            </w:r>
            <w:r>
              <w:rPr>
                <w:rFonts w:hint="eastAsia"/>
              </w:rPr>
              <w:t>用出库明细信息，并支持一键导出</w:t>
            </w:r>
            <w:r>
              <w:t xml:space="preserve"> EXCEL 文档。</w:t>
            </w:r>
          </w:p>
          <w:p w14:paraId="6841AF24">
            <w:pPr>
              <w:pStyle w:val="7"/>
              <w:numPr>
                <w:ilvl w:val="0"/>
                <w:numId w:val="0"/>
              </w:numPr>
              <w:spacing w:line="240" w:lineRule="auto"/>
              <w:outlineLvl w:val="4"/>
            </w:pPr>
            <w:r>
              <w:rPr>
                <w:rFonts w:hint="eastAsia"/>
              </w:rPr>
              <w:t>耗材采购汇总</w:t>
            </w:r>
          </w:p>
          <w:p w14:paraId="25AC32FF">
            <w:pPr>
              <w:pStyle w:val="3"/>
              <w:spacing w:line="240" w:lineRule="auto"/>
              <w:ind w:left="480" w:firstLine="0" w:firstLineChars="0"/>
            </w:pPr>
            <w:r>
              <w:t>可通过入库供应商、入库日期等条件检索和查询医院所有普通耗材采购入库</w:t>
            </w:r>
            <w:r>
              <w:rPr>
                <w:rFonts w:hint="eastAsia"/>
              </w:rPr>
              <w:t>按供应商汇总统计信息，并支持一键导出</w:t>
            </w:r>
            <w:r>
              <w:t xml:space="preserve"> EXCEL 文档。</w:t>
            </w:r>
          </w:p>
          <w:p w14:paraId="4CDB9FCA">
            <w:pPr>
              <w:pStyle w:val="7"/>
              <w:numPr>
                <w:ilvl w:val="0"/>
                <w:numId w:val="0"/>
              </w:numPr>
              <w:spacing w:line="240" w:lineRule="auto"/>
              <w:outlineLvl w:val="4"/>
            </w:pPr>
            <w:r>
              <w:rPr>
                <w:rFonts w:hint="eastAsia"/>
              </w:rPr>
              <w:t>科室领用汇总统计</w:t>
            </w:r>
          </w:p>
          <w:p w14:paraId="1BE30F6E">
            <w:pPr>
              <w:pStyle w:val="3"/>
              <w:spacing w:line="240" w:lineRule="auto"/>
              <w:ind w:left="480" w:firstLine="0" w:firstLineChars="0"/>
            </w:pPr>
            <w:r>
              <w:t>可通过领用科室、领用日期等条件检索和查询医院所有普通耗材科室领用出</w:t>
            </w:r>
            <w:r>
              <w:rPr>
                <w:rFonts w:hint="eastAsia"/>
              </w:rPr>
              <w:t>库按科室汇总统计信息，并支持一键导出</w:t>
            </w:r>
            <w:r>
              <w:t xml:space="preserve"> EXCEL 文档。</w:t>
            </w:r>
          </w:p>
          <w:p w14:paraId="03317DD3">
            <w:pPr>
              <w:pStyle w:val="7"/>
              <w:numPr>
                <w:ilvl w:val="0"/>
                <w:numId w:val="0"/>
              </w:numPr>
              <w:spacing w:line="240" w:lineRule="auto"/>
              <w:outlineLvl w:val="4"/>
            </w:pPr>
            <w:r>
              <w:rPr>
                <w:rFonts w:hint="eastAsia"/>
              </w:rPr>
              <w:t>采购类型汇总统计</w:t>
            </w:r>
          </w:p>
          <w:p w14:paraId="5B7C3A83">
            <w:pPr>
              <w:pStyle w:val="3"/>
              <w:spacing w:line="240" w:lineRule="auto"/>
              <w:ind w:left="480" w:firstLine="0" w:firstLineChars="0"/>
            </w:pPr>
            <w:r>
              <w:t>可通过入库供应商、入库日期、耗材分类等条件检索和查询医院所有普通耗</w:t>
            </w:r>
            <w:r>
              <w:rPr>
                <w:rFonts w:hint="eastAsia"/>
              </w:rPr>
              <w:t>材采购入库按供应商及耗材分类汇总统计信息，并支持一键导出</w:t>
            </w:r>
            <w:r>
              <w:t xml:space="preserve"> EXCEL 文档</w:t>
            </w:r>
            <w:r>
              <w:rPr>
                <w:rFonts w:hint="eastAsia"/>
              </w:rPr>
              <w:t>。</w:t>
            </w:r>
          </w:p>
          <w:p w14:paraId="46ED4824">
            <w:pPr>
              <w:pStyle w:val="7"/>
              <w:numPr>
                <w:ilvl w:val="0"/>
                <w:numId w:val="0"/>
              </w:numPr>
              <w:spacing w:line="240" w:lineRule="auto"/>
              <w:outlineLvl w:val="4"/>
            </w:pPr>
            <w:r>
              <w:rPr>
                <w:rFonts w:hint="eastAsia"/>
              </w:rPr>
              <w:t>领用类型汇总统计</w:t>
            </w:r>
          </w:p>
          <w:p w14:paraId="79206084">
            <w:pPr>
              <w:pStyle w:val="3"/>
              <w:spacing w:line="240" w:lineRule="auto"/>
              <w:ind w:left="480" w:firstLine="0" w:firstLineChars="0"/>
            </w:pPr>
            <w:r>
              <w:t>可通过领用科室、领用日期、耗材分类等条件检索和查询医院所有普通耗材</w:t>
            </w:r>
            <w:r>
              <w:rPr>
                <w:rFonts w:hint="eastAsia"/>
              </w:rPr>
              <w:t>科室领用出库按科室及耗材分类汇总统计信息，并支持一键导出</w:t>
            </w:r>
            <w:r>
              <w:t xml:space="preserve"> EXCEL 文档</w:t>
            </w:r>
            <w:r>
              <w:rPr>
                <w:rFonts w:hint="eastAsia"/>
              </w:rPr>
              <w:t>。</w:t>
            </w:r>
          </w:p>
        </w:tc>
      </w:tr>
      <w:tr w14:paraId="770D9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tcPr>
          <w:p w14:paraId="273D374A">
            <w:pPr>
              <w:pStyle w:val="3"/>
              <w:spacing w:line="240" w:lineRule="auto"/>
              <w:ind w:left="480" w:firstLine="0" w:firstLineChars="0"/>
            </w:pPr>
            <w:r>
              <w:rPr>
                <w:rFonts w:hint="eastAsia"/>
              </w:rPr>
              <w:t>高耗管理</w:t>
            </w:r>
            <w:r>
              <w:t>-备货管理</w:t>
            </w:r>
          </w:p>
          <w:p w14:paraId="2CDDCFF6">
            <w:pPr>
              <w:pStyle w:val="19"/>
              <w:spacing w:after="0" w:line="240" w:lineRule="auto"/>
              <w:ind w:left="480"/>
            </w:pPr>
          </w:p>
        </w:tc>
        <w:tc>
          <w:tcPr>
            <w:tcW w:w="3807" w:type="pct"/>
          </w:tcPr>
          <w:p w14:paraId="0990E13A">
            <w:pPr>
              <w:pStyle w:val="7"/>
              <w:numPr>
                <w:ilvl w:val="0"/>
                <w:numId w:val="0"/>
              </w:numPr>
              <w:spacing w:line="240" w:lineRule="auto"/>
              <w:outlineLvl w:val="4"/>
            </w:pPr>
            <w:r>
              <w:rPr>
                <w:rFonts w:hint="eastAsia"/>
              </w:rPr>
              <w:t>备货申请</w:t>
            </w:r>
          </w:p>
          <w:p w14:paraId="54A874BC">
            <w:pPr>
              <w:pStyle w:val="3"/>
              <w:spacing w:line="240" w:lineRule="auto"/>
              <w:ind w:left="480" w:firstLine="0" w:firstLineChars="0"/>
            </w:pPr>
            <w:r>
              <w:t>医院科室可在线发起高值耗材备货申请，对需要提前备货的医用高值耗材进行备货需求申请，通知耗材管理部门进行高值耗材的备货。</w:t>
            </w:r>
          </w:p>
          <w:p w14:paraId="66AE3A7A">
            <w:pPr>
              <w:pStyle w:val="7"/>
              <w:numPr>
                <w:ilvl w:val="0"/>
                <w:numId w:val="0"/>
              </w:numPr>
              <w:spacing w:line="240" w:lineRule="auto"/>
              <w:outlineLvl w:val="4"/>
            </w:pPr>
            <w:r>
              <w:rPr>
                <w:rFonts w:hint="eastAsia"/>
              </w:rPr>
              <w:t>备货审批</w:t>
            </w:r>
          </w:p>
          <w:p w14:paraId="3ACC9184">
            <w:pPr>
              <w:pStyle w:val="3"/>
              <w:spacing w:line="240" w:lineRule="auto"/>
              <w:ind w:left="480" w:firstLine="0" w:firstLineChars="0"/>
            </w:pPr>
            <w:r>
              <w:t>医院高值耗材管理部门可对科室的高值耗材备货需求申请进行审核，同时支持自定义多级审批流程。</w:t>
            </w:r>
          </w:p>
          <w:p w14:paraId="1F78EDE9">
            <w:pPr>
              <w:pStyle w:val="7"/>
              <w:numPr>
                <w:ilvl w:val="0"/>
                <w:numId w:val="0"/>
              </w:numPr>
              <w:spacing w:line="240" w:lineRule="auto"/>
              <w:outlineLvl w:val="4"/>
            </w:pPr>
            <w:r>
              <w:rPr>
                <w:rFonts w:hint="eastAsia"/>
              </w:rPr>
              <w:t>备货验收入库</w:t>
            </w:r>
          </w:p>
          <w:p w14:paraId="6402EF60">
            <w:pPr>
              <w:pStyle w:val="3"/>
              <w:spacing w:line="240" w:lineRule="auto"/>
              <w:ind w:left="480" w:firstLine="0" w:firstLineChars="0"/>
            </w:pPr>
            <w:r>
              <w:t>1、医院高值耗材管理部门可根据供应商送货单进行高值耗材验收入库，检索高值耗材字典信息自动带出高值耗材的名称、规格型号、采购单价、供应商等基础信息，可录入高值耗材的批次号、生产日期、有效期、入库数量等信息进行备货验收入库，并自动生成唯一的高值耗材条码，实现医用高值耗材一物一码的对应关系，方便后期的使用追溯。</w:t>
            </w:r>
          </w:p>
          <w:p w14:paraId="173C245E">
            <w:pPr>
              <w:pStyle w:val="3"/>
              <w:spacing w:line="240" w:lineRule="auto"/>
              <w:ind w:left="480" w:firstLine="0" w:firstLineChars="0"/>
            </w:pPr>
            <w:r>
              <w:t>2、支持直接引用备货申请单进行一键入库，同时支持可填写入库科室进行直入直出，自动生成科室领用单，领用单据审核后直接入库到科室备货库存</w:t>
            </w:r>
            <w:r>
              <w:rPr>
                <w:rFonts w:hint="eastAsia"/>
              </w:rPr>
              <w:t>。</w:t>
            </w:r>
          </w:p>
          <w:p w14:paraId="57BE2DC0">
            <w:pPr>
              <w:pStyle w:val="3"/>
              <w:spacing w:line="240" w:lineRule="auto"/>
              <w:ind w:left="480" w:firstLine="0" w:firstLineChars="0"/>
            </w:pPr>
            <w:r>
              <w:t>3、可以在线打印入库单据，入库单据打印模板可以根据医院管理要求进行自</w:t>
            </w:r>
            <w:r>
              <w:rPr>
                <w:rFonts w:hint="eastAsia"/>
              </w:rPr>
              <w:t>定义修改。</w:t>
            </w:r>
          </w:p>
          <w:p w14:paraId="473165D9">
            <w:pPr>
              <w:pStyle w:val="7"/>
              <w:numPr>
                <w:ilvl w:val="0"/>
                <w:numId w:val="0"/>
              </w:numPr>
              <w:spacing w:line="240" w:lineRule="auto"/>
              <w:outlineLvl w:val="4"/>
            </w:pPr>
            <w:r>
              <w:rPr>
                <w:rFonts w:hint="eastAsia"/>
              </w:rPr>
              <w:t>高耗条码打印</w:t>
            </w:r>
          </w:p>
          <w:p w14:paraId="15CDBCBD">
            <w:pPr>
              <w:pStyle w:val="3"/>
              <w:spacing w:line="240" w:lineRule="auto"/>
              <w:ind w:left="480" w:firstLine="0" w:firstLineChars="0"/>
            </w:pPr>
            <w:r>
              <w:t>1、可对系统自动生成的高值耗材唯一条码进行在线批量打印，并记录打印日期、打印人及打印次数信息。</w:t>
            </w:r>
          </w:p>
          <w:p w14:paraId="4EB1A5C6">
            <w:pPr>
              <w:pStyle w:val="3"/>
              <w:spacing w:line="240" w:lineRule="auto"/>
              <w:ind w:left="480" w:firstLine="0" w:firstLineChars="0"/>
            </w:pPr>
            <w:r>
              <w:t>2、可按医院高值耗材管理要求对高值耗材条码标签进行自定义修改和调整</w:t>
            </w:r>
            <w:r>
              <w:rPr>
                <w:rFonts w:hint="eastAsia"/>
              </w:rPr>
              <w:t>。备货库存查询</w:t>
            </w:r>
          </w:p>
          <w:p w14:paraId="37CDABAB">
            <w:pPr>
              <w:pStyle w:val="3"/>
              <w:spacing w:line="240" w:lineRule="auto"/>
              <w:ind w:left="480" w:firstLine="0" w:firstLineChars="0"/>
            </w:pPr>
            <w:r>
              <w:t>医院高值耗材管理部门可对高值耗材备货库存进行实时查询，可通过高值耗材名称、条码号、供应商、批次号等多条件进行检索，并支持一键导出 EXCEL 文件。</w:t>
            </w:r>
          </w:p>
          <w:p w14:paraId="3A01307D">
            <w:pPr>
              <w:pStyle w:val="7"/>
              <w:numPr>
                <w:ilvl w:val="0"/>
                <w:numId w:val="0"/>
              </w:numPr>
              <w:spacing w:line="240" w:lineRule="auto"/>
              <w:outlineLvl w:val="4"/>
            </w:pPr>
            <w:r>
              <w:rPr>
                <w:rFonts w:hint="eastAsia"/>
              </w:rPr>
              <w:t>科室领用出库</w:t>
            </w:r>
          </w:p>
          <w:p w14:paraId="7BB03534">
            <w:pPr>
              <w:pStyle w:val="3"/>
              <w:spacing w:line="240" w:lineRule="auto"/>
              <w:ind w:left="480" w:firstLine="0" w:firstLineChars="0"/>
            </w:pPr>
            <w:r>
              <w:t>1、同时支持扫描高值耗材条形码或手动批量选择高值耗材备货库存明细进行科室领用出库。</w:t>
            </w:r>
          </w:p>
          <w:p w14:paraId="2DF1F9E3">
            <w:pPr>
              <w:pStyle w:val="3"/>
              <w:spacing w:line="240" w:lineRule="auto"/>
              <w:ind w:left="480" w:firstLine="0" w:firstLineChars="0"/>
            </w:pPr>
            <w:r>
              <w:t>2、生成领用单后可打印科室领用出库单据，出库单据打印模板可以根据医院</w:t>
            </w:r>
            <w:r>
              <w:rPr>
                <w:rFonts w:hint="eastAsia"/>
              </w:rPr>
              <w:t>管理要求进行自定义修改。</w:t>
            </w:r>
          </w:p>
          <w:p w14:paraId="7325969A">
            <w:pPr>
              <w:pStyle w:val="7"/>
              <w:numPr>
                <w:ilvl w:val="0"/>
                <w:numId w:val="0"/>
              </w:numPr>
              <w:spacing w:line="240" w:lineRule="auto"/>
              <w:outlineLvl w:val="4"/>
            </w:pPr>
            <w:r>
              <w:rPr>
                <w:rFonts w:hint="eastAsia"/>
              </w:rPr>
              <w:t>退货供应商</w:t>
            </w:r>
          </w:p>
          <w:p w14:paraId="1980B20E">
            <w:pPr>
              <w:pStyle w:val="3"/>
              <w:spacing w:line="240" w:lineRule="auto"/>
              <w:ind w:left="480" w:firstLine="0" w:firstLineChars="0"/>
            </w:pPr>
            <w:r>
              <w:t>支持高值耗材在线退货供应商，医院耗材管理部门可将发错货或不用的高值耗材退货给供应商，进行仓库退库处理，并支持在线打印退货单。</w:t>
            </w:r>
          </w:p>
        </w:tc>
      </w:tr>
      <w:tr w14:paraId="6BDF8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tcPr>
          <w:p w14:paraId="2DEB64F0">
            <w:pPr>
              <w:pStyle w:val="3"/>
              <w:spacing w:line="240" w:lineRule="auto"/>
              <w:ind w:left="480" w:firstLine="0" w:firstLineChars="0"/>
            </w:pPr>
            <w:r>
              <w:rPr>
                <w:rFonts w:hint="eastAsia"/>
              </w:rPr>
              <w:t>高耗管理</w:t>
            </w:r>
            <w:r>
              <w:t>-科室使用</w:t>
            </w:r>
          </w:p>
          <w:p w14:paraId="0DD1772B">
            <w:pPr>
              <w:pStyle w:val="19"/>
              <w:spacing w:after="0" w:line="240" w:lineRule="auto"/>
              <w:ind w:left="480"/>
            </w:pPr>
          </w:p>
        </w:tc>
        <w:tc>
          <w:tcPr>
            <w:tcW w:w="3807" w:type="pct"/>
          </w:tcPr>
          <w:p w14:paraId="2F10C341">
            <w:pPr>
              <w:pStyle w:val="7"/>
              <w:numPr>
                <w:ilvl w:val="0"/>
                <w:numId w:val="0"/>
              </w:numPr>
              <w:spacing w:line="240" w:lineRule="auto"/>
              <w:outlineLvl w:val="4"/>
            </w:pPr>
            <w:r>
              <w:rPr>
                <w:rFonts w:hint="eastAsia"/>
              </w:rPr>
              <w:t>科室备货查询</w:t>
            </w:r>
          </w:p>
          <w:p w14:paraId="5DA27359">
            <w:pPr>
              <w:pStyle w:val="3"/>
              <w:spacing w:line="240" w:lineRule="auto"/>
              <w:ind w:left="480" w:firstLine="0" w:firstLineChars="0"/>
            </w:pPr>
            <w:r>
              <w:t>医院科室可实时查询科室高值耗材备货库存信息，可通过高值耗材名称、批</w:t>
            </w:r>
            <w:r>
              <w:rPr>
                <w:rFonts w:hint="eastAsia"/>
              </w:rPr>
              <w:t>次号、条码号、供应商等检索条件实时查询科室高值耗材备货库存信息，</w:t>
            </w:r>
            <w:r>
              <w:t>并可选择是否汇总查看明细或耗材统计信息。</w:t>
            </w:r>
          </w:p>
          <w:p w14:paraId="3DE74588">
            <w:pPr>
              <w:pStyle w:val="7"/>
              <w:numPr>
                <w:ilvl w:val="0"/>
                <w:numId w:val="0"/>
              </w:numPr>
              <w:spacing w:line="240" w:lineRule="auto"/>
              <w:outlineLvl w:val="4"/>
            </w:pPr>
            <w:r>
              <w:rPr>
                <w:rFonts w:hint="eastAsia"/>
              </w:rPr>
              <w:t>科室使用登记</w:t>
            </w:r>
          </w:p>
          <w:p w14:paraId="6B437008">
            <w:pPr>
              <w:pStyle w:val="3"/>
              <w:spacing w:line="240" w:lineRule="auto"/>
              <w:ind w:left="480" w:firstLine="0" w:firstLineChars="0"/>
            </w:pPr>
            <w:r>
              <w:t>1、医院科室可在线登记高值耗材使用详细信息，可手动填写病人患者及手术信息，也可对接HIS 系统输入住院或门诊号后自动带出病人患者及手术信息进行登记记录。</w:t>
            </w:r>
          </w:p>
          <w:p w14:paraId="3553D7AE">
            <w:pPr>
              <w:pStyle w:val="3"/>
              <w:spacing w:line="240" w:lineRule="auto"/>
              <w:ind w:left="480" w:firstLine="0" w:firstLineChars="0"/>
            </w:pPr>
            <w:r>
              <w:t>2、支持扫描高值耗材条形码或手动批量选择科室备货库存高值耗材明细进行快速使用登记。</w:t>
            </w:r>
          </w:p>
          <w:p w14:paraId="38BE087B">
            <w:pPr>
              <w:pStyle w:val="3"/>
              <w:spacing w:line="240" w:lineRule="auto"/>
              <w:ind w:left="480" w:firstLine="0" w:firstLineChars="0"/>
            </w:pPr>
            <w:r>
              <w:t>3、完成使用登记后可自动生成科室使用单据并进行在线打印。</w:t>
            </w:r>
          </w:p>
          <w:p w14:paraId="15D8A0CA">
            <w:pPr>
              <w:pStyle w:val="3"/>
              <w:spacing w:line="240" w:lineRule="auto"/>
              <w:ind w:left="480" w:firstLine="0" w:firstLineChars="0"/>
            </w:pPr>
            <w:r>
              <w:t>4、支持对接HIS 收费系统自动同步科室使用登记信息，并进行高值耗材科室备货库存的自动扣减。</w:t>
            </w:r>
          </w:p>
          <w:p w14:paraId="1137987F">
            <w:pPr>
              <w:pStyle w:val="7"/>
              <w:numPr>
                <w:ilvl w:val="0"/>
                <w:numId w:val="0"/>
              </w:numPr>
              <w:spacing w:line="240" w:lineRule="auto"/>
              <w:outlineLvl w:val="4"/>
            </w:pPr>
            <w:r>
              <w:rPr>
                <w:rFonts w:hint="eastAsia"/>
              </w:rPr>
              <w:t>科室退库</w:t>
            </w:r>
          </w:p>
          <w:p w14:paraId="5056F30D">
            <w:pPr>
              <w:pStyle w:val="3"/>
              <w:spacing w:line="240" w:lineRule="auto"/>
              <w:ind w:left="480" w:firstLine="0" w:firstLineChars="0"/>
            </w:pPr>
            <w:r>
              <w:t>医院各科室可在线发起高值耗材备货库存退库申请，选择科室备货库存中要退库的高值耗材并填写退库数量，由医院耗材管理部门进行在线审批后，高值耗材即可从科室备货库存退到设备科备货库存。</w:t>
            </w:r>
          </w:p>
          <w:p w14:paraId="6B7306F4">
            <w:pPr>
              <w:pStyle w:val="7"/>
              <w:numPr>
                <w:ilvl w:val="0"/>
                <w:numId w:val="0"/>
              </w:numPr>
              <w:spacing w:line="240" w:lineRule="auto"/>
              <w:outlineLvl w:val="4"/>
            </w:pPr>
            <w:r>
              <w:rPr>
                <w:rFonts w:hint="eastAsia"/>
              </w:rPr>
              <w:t>科室使用统计</w:t>
            </w:r>
          </w:p>
          <w:p w14:paraId="77DA9243">
            <w:pPr>
              <w:pStyle w:val="3"/>
              <w:spacing w:line="240" w:lineRule="auto"/>
              <w:ind w:left="480" w:firstLine="0" w:firstLineChars="0"/>
            </w:pPr>
            <w:r>
              <w:t>1、可按使用日期、使用科室、条码号等条件检索和查询医院所有高值耗材使用明细信息。</w:t>
            </w:r>
          </w:p>
          <w:p w14:paraId="4F73FB4A">
            <w:pPr>
              <w:pStyle w:val="3"/>
              <w:spacing w:line="240" w:lineRule="auto"/>
              <w:ind w:left="480" w:firstLine="0" w:firstLineChars="0"/>
            </w:pPr>
            <w:r>
              <w:t>2、可在线打印科室使用对账单，支持一键导出使用明细EXCEL 文档，方便</w:t>
            </w:r>
            <w:r>
              <w:rPr>
                <w:rFonts w:hint="eastAsia"/>
              </w:rPr>
              <w:t>科室进行使用对账。</w:t>
            </w:r>
          </w:p>
        </w:tc>
      </w:tr>
      <w:tr w14:paraId="11998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tcPr>
          <w:p w14:paraId="56393D2F">
            <w:pPr>
              <w:pStyle w:val="3"/>
              <w:spacing w:line="240" w:lineRule="auto"/>
              <w:ind w:left="480" w:firstLine="0" w:firstLineChars="0"/>
            </w:pPr>
            <w:r>
              <w:rPr>
                <w:rFonts w:hint="eastAsia"/>
              </w:rPr>
              <w:t>高耗管理</w:t>
            </w:r>
            <w:r>
              <w:t>-结算管理</w:t>
            </w:r>
          </w:p>
          <w:p w14:paraId="62FA6AF3">
            <w:pPr>
              <w:pStyle w:val="19"/>
              <w:spacing w:after="0" w:line="240" w:lineRule="auto"/>
              <w:ind w:left="480"/>
            </w:pPr>
          </w:p>
        </w:tc>
        <w:tc>
          <w:tcPr>
            <w:tcW w:w="3807" w:type="pct"/>
          </w:tcPr>
          <w:p w14:paraId="55C7F6CB">
            <w:pPr>
              <w:pStyle w:val="7"/>
              <w:numPr>
                <w:ilvl w:val="0"/>
                <w:numId w:val="0"/>
              </w:numPr>
              <w:spacing w:line="240" w:lineRule="auto"/>
              <w:outlineLvl w:val="4"/>
            </w:pPr>
            <w:r>
              <w:rPr>
                <w:rFonts w:hint="eastAsia"/>
              </w:rPr>
              <w:t>结算登记</w:t>
            </w:r>
          </w:p>
          <w:p w14:paraId="1A00465F">
            <w:pPr>
              <w:pStyle w:val="3"/>
              <w:spacing w:line="240" w:lineRule="auto"/>
              <w:ind w:left="480" w:firstLine="0" w:firstLineChars="0"/>
            </w:pPr>
            <w:r>
              <w:t>医院高值耗材管理财务部门可定期对已使用消耗的高值耗材按供应商进行结算登记，生成供应商结算单据并记录发票信息。</w:t>
            </w:r>
          </w:p>
          <w:p w14:paraId="1C171D6E">
            <w:pPr>
              <w:pStyle w:val="7"/>
              <w:numPr>
                <w:ilvl w:val="0"/>
                <w:numId w:val="0"/>
              </w:numPr>
              <w:spacing w:line="240" w:lineRule="auto"/>
              <w:outlineLvl w:val="4"/>
            </w:pPr>
            <w:r>
              <w:rPr>
                <w:rFonts w:hint="eastAsia"/>
              </w:rPr>
              <w:t>结算审核</w:t>
            </w:r>
          </w:p>
          <w:p w14:paraId="2B5C7B01">
            <w:pPr>
              <w:pStyle w:val="3"/>
              <w:spacing w:line="240" w:lineRule="auto"/>
              <w:ind w:left="480" w:firstLine="0" w:firstLineChars="0"/>
            </w:pPr>
            <w:r>
              <w:t>医院高值耗材管理财务部门可对结算单进行在线审核，审核通过后可打印结</w:t>
            </w:r>
            <w:r>
              <w:rPr>
                <w:rFonts w:hint="eastAsia"/>
              </w:rPr>
              <w:t>算单据，方便供应商结算管理，结算单据打印模板可根据医院管理要求进行自定义修改。</w:t>
            </w:r>
          </w:p>
          <w:p w14:paraId="2FE01FF6">
            <w:pPr>
              <w:pStyle w:val="7"/>
              <w:numPr>
                <w:ilvl w:val="0"/>
                <w:numId w:val="0"/>
              </w:numPr>
              <w:spacing w:line="240" w:lineRule="auto"/>
              <w:outlineLvl w:val="4"/>
            </w:pPr>
            <w:r>
              <w:rPr>
                <w:rFonts w:hint="eastAsia"/>
              </w:rPr>
              <w:t>结算统计</w:t>
            </w:r>
          </w:p>
          <w:p w14:paraId="4163CED1">
            <w:pPr>
              <w:pStyle w:val="3"/>
              <w:spacing w:line="240" w:lineRule="auto"/>
              <w:ind w:left="480" w:firstLine="0" w:firstLineChars="0"/>
            </w:pPr>
            <w:r>
              <w:t>可按结算单号、结算日期、条码号、供应商等条件检索和查询医院所有结算登记审核通过后的高值耗材明细及发票信息。</w:t>
            </w:r>
          </w:p>
        </w:tc>
      </w:tr>
      <w:tr w14:paraId="3C4D1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tcPr>
          <w:p w14:paraId="77D4DBC1">
            <w:pPr>
              <w:pStyle w:val="19"/>
              <w:spacing w:after="0" w:line="240" w:lineRule="auto"/>
              <w:ind w:left="480"/>
            </w:pPr>
            <w:r>
              <w:rPr>
                <w:rFonts w:hint="eastAsia"/>
              </w:rPr>
              <w:t>高耗管理</w:t>
            </w:r>
            <w:r>
              <w:t>-手术跟</w:t>
            </w:r>
            <w:r>
              <w:rPr>
                <w:rFonts w:hint="eastAsia"/>
              </w:rPr>
              <w:t>台</w:t>
            </w:r>
          </w:p>
        </w:tc>
        <w:tc>
          <w:tcPr>
            <w:tcW w:w="3807" w:type="pct"/>
          </w:tcPr>
          <w:p w14:paraId="785F0AB8">
            <w:pPr>
              <w:pStyle w:val="7"/>
              <w:numPr>
                <w:ilvl w:val="0"/>
                <w:numId w:val="0"/>
              </w:numPr>
              <w:spacing w:line="240" w:lineRule="auto"/>
              <w:outlineLvl w:val="4"/>
            </w:pPr>
            <w:r>
              <w:t>手术跟台</w:t>
            </w:r>
          </w:p>
          <w:p w14:paraId="5DCCF69A">
            <w:pPr>
              <w:pStyle w:val="3"/>
              <w:spacing w:line="240" w:lineRule="auto"/>
              <w:ind w:left="480" w:firstLine="0" w:firstLineChars="0"/>
            </w:pPr>
            <w:r>
              <w:t>支持对医院临时紧急手术使用的高值耗材进行使用登记快速录入</w:t>
            </w:r>
          </w:p>
        </w:tc>
      </w:tr>
      <w:tr w14:paraId="5585B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tcPr>
          <w:p w14:paraId="4FED51B2">
            <w:pPr>
              <w:pStyle w:val="19"/>
              <w:spacing w:after="0" w:line="240" w:lineRule="auto"/>
              <w:ind w:left="480"/>
            </w:pPr>
            <w:r>
              <w:rPr>
                <w:rFonts w:hint="eastAsia"/>
              </w:rPr>
              <w:t>高耗管理</w:t>
            </w:r>
            <w:r>
              <w:t>-追溯查</w:t>
            </w:r>
            <w:r>
              <w:rPr>
                <w:rFonts w:hint="eastAsia"/>
              </w:rPr>
              <w:t>询</w:t>
            </w:r>
          </w:p>
        </w:tc>
        <w:tc>
          <w:tcPr>
            <w:tcW w:w="3807" w:type="pct"/>
          </w:tcPr>
          <w:p w14:paraId="236A7E63">
            <w:pPr>
              <w:pStyle w:val="7"/>
              <w:numPr>
                <w:ilvl w:val="0"/>
                <w:numId w:val="0"/>
              </w:numPr>
              <w:spacing w:line="240" w:lineRule="auto"/>
              <w:outlineLvl w:val="4"/>
            </w:pPr>
            <w:r>
              <w:t>追溯查询</w:t>
            </w:r>
          </w:p>
          <w:p w14:paraId="5B82B7BF">
            <w:pPr>
              <w:pStyle w:val="3"/>
              <w:spacing w:line="240" w:lineRule="auto"/>
              <w:ind w:left="480" w:firstLine="0" w:firstLineChars="0"/>
            </w:pPr>
            <w:r>
              <w:t>可按病人姓名、病人住院号、耗材名称、供应商等条件检索和查询医院所有</w:t>
            </w:r>
            <w:r>
              <w:rPr>
                <w:rFonts w:hint="eastAsia"/>
              </w:rPr>
              <w:t>使用登记及结算后的高值耗材明细信息，实现高值耗材的溯源管理。</w:t>
            </w:r>
          </w:p>
        </w:tc>
      </w:tr>
      <w:tr w14:paraId="24354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tcPr>
          <w:p w14:paraId="216FBC07">
            <w:pPr>
              <w:pStyle w:val="19"/>
              <w:spacing w:after="0" w:line="240" w:lineRule="auto"/>
              <w:ind w:left="480"/>
            </w:pPr>
            <w:r>
              <w:rPr>
                <w:rFonts w:hint="eastAsia"/>
              </w:rPr>
              <w:t>耗材厂商管理</w:t>
            </w:r>
          </w:p>
        </w:tc>
        <w:tc>
          <w:tcPr>
            <w:tcW w:w="3807" w:type="pct"/>
          </w:tcPr>
          <w:p w14:paraId="37AAE850">
            <w:pPr>
              <w:pStyle w:val="7"/>
              <w:numPr>
                <w:ilvl w:val="0"/>
                <w:numId w:val="0"/>
              </w:numPr>
              <w:spacing w:line="240" w:lineRule="auto"/>
              <w:outlineLvl w:val="4"/>
            </w:pPr>
            <w:r>
              <w:rPr>
                <w:rFonts w:hint="eastAsia"/>
              </w:rPr>
              <w:t>厂商管理</w:t>
            </w:r>
          </w:p>
          <w:p w14:paraId="0E19F601">
            <w:pPr>
              <w:pStyle w:val="3"/>
              <w:spacing w:line="240" w:lineRule="auto"/>
              <w:ind w:left="480" w:firstLine="0" w:firstLineChars="0"/>
            </w:pPr>
            <w:r>
              <w:t>1、可对耗材生产商、供应商三证、授权书等基础信息进行维护管理</w:t>
            </w:r>
          </w:p>
          <w:p w14:paraId="2D4432B5">
            <w:pPr>
              <w:pStyle w:val="3"/>
              <w:spacing w:line="240" w:lineRule="auto"/>
              <w:ind w:left="480" w:firstLine="0" w:firstLineChars="0"/>
            </w:pPr>
            <w:r>
              <w:t>2、并支持厂商证件电子照上传和维护记录</w:t>
            </w:r>
          </w:p>
          <w:p w14:paraId="42E31201">
            <w:pPr>
              <w:pStyle w:val="7"/>
              <w:numPr>
                <w:ilvl w:val="0"/>
                <w:numId w:val="0"/>
              </w:numPr>
              <w:spacing w:line="240" w:lineRule="auto"/>
              <w:outlineLvl w:val="4"/>
            </w:pPr>
            <w:r>
              <w:rPr>
                <w:rFonts w:hint="eastAsia"/>
              </w:rPr>
              <w:t>合同管理</w:t>
            </w:r>
          </w:p>
          <w:p w14:paraId="28090460">
            <w:pPr>
              <w:pStyle w:val="3"/>
              <w:spacing w:line="240" w:lineRule="auto"/>
              <w:ind w:left="480" w:firstLine="0" w:firstLineChars="0"/>
            </w:pPr>
            <w:r>
              <w:t>1、可对采购合同进行录入，并支持合同附件电子档上传管理</w:t>
            </w:r>
          </w:p>
          <w:p w14:paraId="3301C6B7">
            <w:pPr>
              <w:pStyle w:val="3"/>
              <w:spacing w:line="240" w:lineRule="auto"/>
              <w:ind w:left="480" w:firstLine="0" w:firstLineChars="0"/>
            </w:pPr>
            <w:r>
              <w:t>2、可对合同累计付款比例进行记录，并根据付款情况进行合同检索，方便医院进行合同付款管理。</w:t>
            </w:r>
          </w:p>
          <w:p w14:paraId="2159BAAB">
            <w:pPr>
              <w:pStyle w:val="7"/>
              <w:numPr>
                <w:ilvl w:val="0"/>
                <w:numId w:val="0"/>
              </w:numPr>
              <w:spacing w:line="240" w:lineRule="auto"/>
              <w:outlineLvl w:val="4"/>
            </w:pPr>
            <w:r>
              <w:t>证件有效期提</w:t>
            </w:r>
            <w:r>
              <w:rPr>
                <w:rFonts w:hint="eastAsia"/>
              </w:rPr>
              <w:t>醒</w:t>
            </w:r>
          </w:p>
          <w:p w14:paraId="59944D29">
            <w:pPr>
              <w:pStyle w:val="3"/>
              <w:spacing w:line="240" w:lineRule="auto"/>
              <w:ind w:left="480" w:firstLine="0" w:firstLineChars="0"/>
            </w:pPr>
            <w:r>
              <w:t>可根据证件有效日期对证件过期情况进行查询和统计，提醒管理人员及时进</w:t>
            </w:r>
            <w:r>
              <w:rPr>
                <w:rFonts w:hint="eastAsia"/>
              </w:rPr>
              <w:t>行换证处理</w:t>
            </w:r>
          </w:p>
          <w:p w14:paraId="50CBD2D1">
            <w:pPr>
              <w:pStyle w:val="7"/>
              <w:numPr>
                <w:ilvl w:val="0"/>
                <w:numId w:val="0"/>
              </w:numPr>
              <w:spacing w:line="240" w:lineRule="auto"/>
              <w:outlineLvl w:val="4"/>
            </w:pPr>
            <w:r>
              <w:t>合同有效期提</w:t>
            </w:r>
            <w:r>
              <w:rPr>
                <w:rFonts w:hint="eastAsia"/>
              </w:rPr>
              <w:t>醒</w:t>
            </w:r>
          </w:p>
          <w:p w14:paraId="08FEA7F7">
            <w:pPr>
              <w:pStyle w:val="3"/>
              <w:spacing w:line="240" w:lineRule="auto"/>
              <w:ind w:left="480" w:firstLine="0" w:firstLineChars="0"/>
            </w:pPr>
            <w:r>
              <w:t>可根据自定义提醒天数对维保合同有效期进行提醒和查询，方便管理人员及</w:t>
            </w:r>
            <w:r>
              <w:rPr>
                <w:rFonts w:hint="eastAsia"/>
              </w:rPr>
              <w:t>时对维保合同及时续约。</w:t>
            </w:r>
          </w:p>
        </w:tc>
      </w:tr>
      <w:tr w14:paraId="4A624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tcPr>
          <w:p w14:paraId="25241884">
            <w:pPr>
              <w:pStyle w:val="3"/>
              <w:spacing w:line="240" w:lineRule="auto"/>
              <w:ind w:left="480" w:firstLine="0" w:firstLineChars="0"/>
            </w:pPr>
            <w:r>
              <w:rPr>
                <w:rFonts w:hint="eastAsia"/>
              </w:rPr>
              <w:t>基础设置</w:t>
            </w:r>
          </w:p>
          <w:p w14:paraId="14D834B6">
            <w:pPr>
              <w:pStyle w:val="19"/>
              <w:spacing w:after="0" w:line="240" w:lineRule="auto"/>
              <w:ind w:left="480"/>
            </w:pPr>
          </w:p>
        </w:tc>
        <w:tc>
          <w:tcPr>
            <w:tcW w:w="3807" w:type="pct"/>
          </w:tcPr>
          <w:p w14:paraId="4EC8E922">
            <w:pPr>
              <w:pStyle w:val="7"/>
              <w:numPr>
                <w:ilvl w:val="0"/>
                <w:numId w:val="0"/>
              </w:numPr>
              <w:spacing w:line="240" w:lineRule="auto"/>
              <w:outlineLvl w:val="4"/>
            </w:pPr>
            <w:bookmarkStart w:id="534" w:name="_Hlk152055422"/>
            <w:r>
              <w:rPr>
                <w:rFonts w:hint="eastAsia"/>
              </w:rPr>
              <w:t>耗材分类管理</w:t>
            </w:r>
          </w:p>
          <w:p w14:paraId="25CB431E">
            <w:pPr>
              <w:pStyle w:val="3"/>
              <w:spacing w:line="240" w:lineRule="auto"/>
              <w:ind w:left="480" w:firstLine="0" w:firstLineChars="0"/>
            </w:pPr>
            <w:r>
              <w:rPr>
                <w:rFonts w:hint="eastAsia"/>
              </w:rPr>
              <w:t>系统自动默认初始化标准医疗器械分类及编码，最新卫生部医疗器械分类标准</w:t>
            </w:r>
            <w:r>
              <w:t xml:space="preserve"> 2018 年版分类规则及编码；也支持医院自定义分类编码规则</w:t>
            </w:r>
          </w:p>
          <w:p w14:paraId="4E98FAEE">
            <w:pPr>
              <w:pStyle w:val="7"/>
              <w:numPr>
                <w:ilvl w:val="0"/>
                <w:numId w:val="0"/>
              </w:numPr>
              <w:spacing w:line="240" w:lineRule="auto"/>
              <w:outlineLvl w:val="4"/>
            </w:pPr>
            <w:r>
              <w:t>财务分类管理</w:t>
            </w:r>
          </w:p>
          <w:p w14:paraId="0872642A">
            <w:pPr>
              <w:pStyle w:val="3"/>
              <w:spacing w:line="240" w:lineRule="auto"/>
              <w:ind w:left="480" w:firstLine="0" w:firstLineChars="0"/>
            </w:pPr>
            <w:r>
              <w:t>可根据医院财务要求自定义财务分类及编码</w:t>
            </w:r>
          </w:p>
          <w:p w14:paraId="061FC995">
            <w:pPr>
              <w:pStyle w:val="7"/>
              <w:numPr>
                <w:ilvl w:val="0"/>
                <w:numId w:val="0"/>
              </w:numPr>
              <w:spacing w:line="240" w:lineRule="auto"/>
              <w:outlineLvl w:val="4"/>
            </w:pPr>
            <w:r>
              <w:rPr>
                <w:rFonts w:hint="eastAsia"/>
              </w:rPr>
              <w:t>用户信息管理</w:t>
            </w:r>
          </w:p>
          <w:p w14:paraId="3834C4B0">
            <w:pPr>
              <w:pStyle w:val="3"/>
              <w:spacing w:line="240" w:lineRule="auto"/>
              <w:ind w:left="480" w:firstLine="0" w:firstLineChars="0"/>
            </w:pPr>
            <w:r>
              <w:t>1、可根据医院实际情况，灵活自定义仓库、科室、人员、角色及职务信息</w:t>
            </w:r>
          </w:p>
          <w:p w14:paraId="356BF9D9">
            <w:pPr>
              <w:pStyle w:val="3"/>
              <w:spacing w:line="240" w:lineRule="auto"/>
              <w:ind w:left="480" w:firstLine="0" w:firstLineChars="0"/>
            </w:pPr>
            <w:r>
              <w:t>2、支持科室、人员、角色、职务信息的批量导入</w:t>
            </w:r>
          </w:p>
          <w:p w14:paraId="60187C7A">
            <w:pPr>
              <w:pStyle w:val="7"/>
              <w:numPr>
                <w:ilvl w:val="0"/>
                <w:numId w:val="0"/>
              </w:numPr>
              <w:spacing w:line="240" w:lineRule="auto"/>
              <w:outlineLvl w:val="4"/>
            </w:pPr>
            <w:r>
              <w:rPr>
                <w:rFonts w:hint="eastAsia"/>
              </w:rPr>
              <w:t>用户权限管理</w:t>
            </w:r>
          </w:p>
          <w:p w14:paraId="5D018B25">
            <w:pPr>
              <w:pStyle w:val="3"/>
              <w:spacing w:line="240" w:lineRule="auto"/>
              <w:ind w:left="480" w:firstLine="0" w:firstLineChars="0"/>
            </w:pPr>
            <w:r>
              <w:t>1、可对系统用户进行仓库、科室管理权限进行设置</w:t>
            </w:r>
          </w:p>
          <w:p w14:paraId="1D98B6A2">
            <w:pPr>
              <w:pStyle w:val="3"/>
              <w:spacing w:line="240" w:lineRule="auto"/>
              <w:ind w:left="480" w:firstLine="0" w:firstLineChars="0"/>
            </w:pPr>
            <w:r>
              <w:t>2、支持按工作角色分组划分菜单功能使用权限</w:t>
            </w:r>
          </w:p>
          <w:p w14:paraId="4A1C53C3">
            <w:pPr>
              <w:pStyle w:val="7"/>
              <w:numPr>
                <w:ilvl w:val="0"/>
                <w:numId w:val="0"/>
              </w:numPr>
              <w:spacing w:line="240" w:lineRule="auto"/>
              <w:outlineLvl w:val="4"/>
            </w:pPr>
            <w:r>
              <w:rPr>
                <w:rFonts w:hint="eastAsia"/>
              </w:rPr>
              <w:t>耗材字典维护</w:t>
            </w:r>
          </w:p>
          <w:p w14:paraId="5E5A616B">
            <w:pPr>
              <w:pStyle w:val="3"/>
              <w:spacing w:line="240" w:lineRule="auto"/>
              <w:ind w:left="480" w:firstLine="0" w:firstLineChars="0"/>
            </w:pPr>
            <w:r>
              <w:t>1、可对耗材字典进行维护管理，方便耗材申请及入库等管理操作根据字典带出基础信息。</w:t>
            </w:r>
          </w:p>
          <w:p w14:paraId="23B70201">
            <w:pPr>
              <w:pStyle w:val="3"/>
              <w:spacing w:line="240" w:lineRule="auto"/>
              <w:ind w:left="480" w:firstLine="0" w:firstLineChars="0"/>
            </w:pPr>
            <w:r>
              <w:t>2、可对耗材品牌、产地、国别等字典信息进行维护管理</w:t>
            </w:r>
          </w:p>
          <w:p w14:paraId="53138446">
            <w:pPr>
              <w:pStyle w:val="7"/>
              <w:numPr>
                <w:ilvl w:val="0"/>
                <w:numId w:val="0"/>
              </w:numPr>
              <w:spacing w:line="240" w:lineRule="auto"/>
              <w:outlineLvl w:val="4"/>
            </w:pPr>
            <w:r>
              <w:t>审批流程设置</w:t>
            </w:r>
          </w:p>
          <w:p w14:paraId="766F6F75">
            <w:pPr>
              <w:pStyle w:val="3"/>
              <w:spacing w:line="240" w:lineRule="auto"/>
              <w:ind w:left="480" w:firstLine="0" w:firstLineChars="0"/>
            </w:pPr>
            <w:r>
              <w:t>可对系统各审批流程进行设置，支持自定义图形化界面配置多级审批节点支持按指定人员、角色、科室负责人配置流程节点审批权限。</w:t>
            </w:r>
          </w:p>
          <w:p w14:paraId="0C057A4C">
            <w:pPr>
              <w:pStyle w:val="7"/>
              <w:numPr>
                <w:ilvl w:val="0"/>
                <w:numId w:val="0"/>
              </w:numPr>
              <w:spacing w:line="240" w:lineRule="auto"/>
              <w:outlineLvl w:val="4"/>
            </w:pPr>
            <w:r>
              <w:rPr>
                <w:rFonts w:hint="eastAsia"/>
              </w:rPr>
              <w:t>常用耗材管理</w:t>
            </w:r>
          </w:p>
          <w:p w14:paraId="430F4850">
            <w:pPr>
              <w:pStyle w:val="3"/>
              <w:spacing w:line="240" w:lineRule="auto"/>
              <w:ind w:left="480" w:firstLine="0" w:firstLineChars="0"/>
            </w:pPr>
            <w:r>
              <w:t>医院各科室可自定义配置常用普通耗材列表，在科室耗材申购或申领时可直接引用快速选择常用耗材。</w:t>
            </w:r>
          </w:p>
          <w:p w14:paraId="2253BC40">
            <w:pPr>
              <w:pStyle w:val="7"/>
              <w:numPr>
                <w:ilvl w:val="0"/>
                <w:numId w:val="0"/>
              </w:numPr>
              <w:spacing w:line="240" w:lineRule="auto"/>
              <w:outlineLvl w:val="4"/>
            </w:pPr>
            <w:r>
              <w:t>新耗材管理</w:t>
            </w:r>
          </w:p>
          <w:p w14:paraId="0EA1EE4B">
            <w:pPr>
              <w:pStyle w:val="3"/>
              <w:spacing w:line="240" w:lineRule="auto"/>
              <w:ind w:left="480" w:firstLine="0" w:firstLineChars="0"/>
            </w:pPr>
            <w:r>
              <w:t>1、科室可发起新耗材申请，录入新耗材基础信息。</w:t>
            </w:r>
          </w:p>
          <w:p w14:paraId="5E15EEB3">
            <w:pPr>
              <w:pStyle w:val="3"/>
              <w:spacing w:line="240" w:lineRule="auto"/>
              <w:ind w:left="480" w:firstLine="0" w:firstLineChars="0"/>
            </w:pPr>
            <w:r>
              <w:t>2、耗材管理部门可对科室发起的新耗材申请信息进行审批确认和修改，完成审批后可自动新增耗材字典信息。</w:t>
            </w:r>
          </w:p>
          <w:p w14:paraId="0AF24AEA">
            <w:pPr>
              <w:pStyle w:val="7"/>
              <w:numPr>
                <w:ilvl w:val="0"/>
                <w:numId w:val="0"/>
              </w:numPr>
              <w:spacing w:line="240" w:lineRule="auto"/>
              <w:outlineLvl w:val="4"/>
            </w:pPr>
            <w:r>
              <w:t>耗材调价管理</w:t>
            </w:r>
          </w:p>
          <w:p w14:paraId="06AFBC1A">
            <w:pPr>
              <w:pStyle w:val="3"/>
              <w:spacing w:line="240" w:lineRule="auto"/>
              <w:ind w:left="480" w:firstLine="0" w:firstLineChars="0"/>
            </w:pPr>
            <w:r>
              <w:t>1、医院耗材管理部门可对耗材价格进行变更，并记录调价原因、上传调价文档，形成调价记录。</w:t>
            </w:r>
          </w:p>
          <w:p w14:paraId="57902E6E">
            <w:pPr>
              <w:pStyle w:val="3"/>
              <w:spacing w:line="240" w:lineRule="auto"/>
              <w:ind w:left="480" w:firstLine="0" w:firstLineChars="0"/>
            </w:pPr>
            <w:r>
              <w:t>2、可查询所有耗材调价记录和调价文档，并支持EXCEL 导出。</w:t>
            </w:r>
          </w:p>
          <w:p w14:paraId="4869C423">
            <w:pPr>
              <w:pStyle w:val="7"/>
              <w:numPr>
                <w:ilvl w:val="0"/>
                <w:numId w:val="0"/>
              </w:numPr>
              <w:spacing w:line="240" w:lineRule="auto"/>
              <w:ind w:left="2268"/>
              <w:outlineLvl w:val="4"/>
            </w:pPr>
            <w:r>
              <w:rPr>
                <w:rFonts w:hint="eastAsia"/>
              </w:rPr>
              <w:t>系统操作日志</w:t>
            </w:r>
          </w:p>
          <w:p w14:paraId="714BA047">
            <w:pPr>
              <w:pStyle w:val="3"/>
              <w:spacing w:line="240" w:lineRule="auto"/>
              <w:ind w:left="480" w:firstLine="0" w:firstLineChars="0"/>
            </w:pPr>
            <w:r>
              <w:t>可对系统登录用户的操作信息进行记录，包括操作时间、操作事项、操作IP</w:t>
            </w:r>
            <w:r>
              <w:rPr>
                <w:rFonts w:hint="eastAsia"/>
              </w:rPr>
              <w:t>等信息。</w:t>
            </w:r>
            <w:bookmarkEnd w:id="534"/>
          </w:p>
        </w:tc>
      </w:tr>
    </w:tbl>
    <w:p w14:paraId="3487F9F7">
      <w:pPr>
        <w:pStyle w:val="3"/>
        <w:ind w:firstLine="0" w:firstLineChars="0"/>
      </w:pPr>
    </w:p>
    <w:p w14:paraId="77825553">
      <w:pPr>
        <w:pStyle w:val="5"/>
        <w:numPr>
          <w:ilvl w:val="2"/>
          <w:numId w:val="16"/>
        </w:numPr>
      </w:pPr>
      <w:bookmarkStart w:id="535" w:name="_Toc202539087"/>
      <w:r>
        <w:rPr>
          <w:rFonts w:hint="eastAsia"/>
        </w:rPr>
        <w:t>医共体统一运营系统</w:t>
      </w:r>
      <w:bookmarkEnd w:id="535"/>
    </w:p>
    <w:p w14:paraId="1B884ECF">
      <w:pPr>
        <w:pStyle w:val="6"/>
        <w:numPr>
          <w:ilvl w:val="3"/>
          <w:numId w:val="16"/>
        </w:numPr>
      </w:pPr>
      <w:r>
        <w:rPr>
          <w:rFonts w:hint="eastAsia"/>
        </w:rPr>
        <w:t>医共体运营平台</w:t>
      </w:r>
    </w:p>
    <w:p w14:paraId="0619BF18">
      <w:pPr>
        <w:pStyle w:val="3"/>
      </w:pPr>
      <w:r>
        <w:rPr>
          <w:rFonts w:hint="eastAsia" w:asciiTheme="minorEastAsia" w:hAnsiTheme="minorEastAsia" w:eastAsiaTheme="minorEastAsia"/>
        </w:rPr>
        <w:t>支持以下功能：</w:t>
      </w:r>
    </w:p>
    <w:p w14:paraId="272D9593">
      <w:pPr>
        <w:spacing w:before="163" w:beforeLines="50" w:after="163" w:afterLines="50"/>
        <w:ind w:firstLine="602" w:firstLineChars="251"/>
        <w:jc w:val="left"/>
      </w:pPr>
      <w:r>
        <w:rPr>
          <w:rFonts w:hint="eastAsia"/>
          <w:szCs w:val="24"/>
        </w:rPr>
        <w:t>以“资源整合、集中管控”为核心，实现医共体成员机构人、财、物资源的优化配置和信息共享，构建人力资源管理中心、财务管理中心、资产管理中心、数据管理中心，完善管理制度、再造业务流程、优化资源配置、强化分析评价，将运营管理转化为价值创造，有效提升运营管理效益和投入产出效率，助力医共体高质量发展。</w:t>
      </w:r>
    </w:p>
    <w:p w14:paraId="003E1523">
      <w:pPr>
        <w:pStyle w:val="3"/>
        <w:rPr>
          <w:szCs w:val="24"/>
        </w:rPr>
      </w:pPr>
      <w:r>
        <w:rPr>
          <w:rFonts w:hint="eastAsia"/>
          <w:szCs w:val="24"/>
        </w:rPr>
        <w:t>通过系统建设，为医共体成员机构创建以员工能力为核心的人力资本管理体系、以预算为主线的一体化闭环财务管理体系、全流程精益协同的物资资产管理体系，推动医共体核心业务工作与运营管理工作深度融合，将现代管理理念、方法和技术融入运营管理的各个领域、层级和环节，提升运营管理精细化水平，有效保障运营管理规范化及高效协同运作，提升运营管理效率和质量。重点关注各类业务活动内涵经济行为的事项，建立健全内部控制管理和风险监控制度措施，使之既符合业务管理规范化要求，又满足风险防控精准化需要。</w:t>
      </w:r>
    </w:p>
    <w:tbl>
      <w:tblPr>
        <w:tblStyle w:val="43"/>
        <w:tblW w:w="94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6"/>
        <w:gridCol w:w="7368"/>
      </w:tblGrid>
      <w:tr w14:paraId="617C4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2046" w:type="dxa"/>
            <w:vAlign w:val="center"/>
          </w:tcPr>
          <w:p w14:paraId="1C90ECDB">
            <w:pPr>
              <w:jc w:val="left"/>
              <w:rPr>
                <w:kern w:val="0"/>
              </w:rPr>
            </w:pPr>
            <w:r>
              <w:rPr>
                <w:rFonts w:hint="eastAsia" w:ascii="宋体" w:hAnsi="宋体"/>
                <w:kern w:val="0"/>
                <w:szCs w:val="24"/>
              </w:rPr>
              <w:t>医共体平台</w:t>
            </w:r>
          </w:p>
        </w:tc>
        <w:tc>
          <w:tcPr>
            <w:tcW w:w="7368" w:type="dxa"/>
            <w:vAlign w:val="center"/>
          </w:tcPr>
          <w:p w14:paraId="578F1C1D">
            <w:pPr>
              <w:jc w:val="left"/>
              <w:rPr>
                <w:kern w:val="0"/>
              </w:rPr>
            </w:pPr>
            <w:r>
              <w:rPr>
                <w:rFonts w:hint="eastAsia" w:ascii="宋体" w:hAnsi="宋体"/>
                <w:kern w:val="0"/>
                <w:szCs w:val="24"/>
              </w:rPr>
              <w:t>字典标准对照、关系映射、权限统配等</w:t>
            </w:r>
          </w:p>
        </w:tc>
      </w:tr>
      <w:tr w14:paraId="73691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046" w:type="dxa"/>
            <w:vAlign w:val="center"/>
          </w:tcPr>
          <w:p w14:paraId="6C85A228">
            <w:pPr>
              <w:jc w:val="left"/>
              <w:rPr>
                <w:kern w:val="0"/>
              </w:rPr>
            </w:pPr>
            <w:r>
              <w:rPr>
                <w:rFonts w:hint="eastAsia" w:ascii="宋体" w:hAnsi="宋体"/>
                <w:kern w:val="0"/>
                <w:szCs w:val="24"/>
              </w:rPr>
              <w:t>财务管理中心</w:t>
            </w:r>
          </w:p>
        </w:tc>
        <w:tc>
          <w:tcPr>
            <w:tcW w:w="7368" w:type="dxa"/>
            <w:vAlign w:val="center"/>
          </w:tcPr>
          <w:p w14:paraId="2596E01B">
            <w:pPr>
              <w:jc w:val="left"/>
              <w:rPr>
                <w:kern w:val="0"/>
              </w:rPr>
            </w:pPr>
            <w:r>
              <w:rPr>
                <w:rFonts w:hint="eastAsia" w:ascii="宋体" w:hAnsi="宋体"/>
                <w:kern w:val="0"/>
                <w:szCs w:val="24"/>
              </w:rPr>
              <w:t>关联交易、内部抵减、财务报表汇总合并、数据穿透查询等</w:t>
            </w:r>
          </w:p>
        </w:tc>
      </w:tr>
      <w:tr w14:paraId="75B8A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2046" w:type="dxa"/>
            <w:vAlign w:val="center"/>
          </w:tcPr>
          <w:p w14:paraId="30832F76">
            <w:pPr>
              <w:jc w:val="left"/>
              <w:rPr>
                <w:kern w:val="0"/>
              </w:rPr>
            </w:pPr>
            <w:r>
              <w:rPr>
                <w:rFonts w:hint="eastAsia" w:ascii="宋体" w:hAnsi="宋体"/>
                <w:kern w:val="0"/>
                <w:szCs w:val="24"/>
              </w:rPr>
              <w:t>人事管理中心</w:t>
            </w:r>
          </w:p>
        </w:tc>
        <w:tc>
          <w:tcPr>
            <w:tcW w:w="7368" w:type="dxa"/>
            <w:vAlign w:val="center"/>
          </w:tcPr>
          <w:p w14:paraId="0DF21763">
            <w:pPr>
              <w:jc w:val="left"/>
              <w:rPr>
                <w:kern w:val="0"/>
              </w:rPr>
            </w:pPr>
            <w:r>
              <w:rPr>
                <w:rFonts w:hint="eastAsia" w:ascii="宋体" w:hAnsi="宋体"/>
                <w:kern w:val="0"/>
                <w:szCs w:val="24"/>
              </w:rPr>
              <w:t>人员信息汇总查询、调动审批、多点执业等统一制订等</w:t>
            </w:r>
          </w:p>
        </w:tc>
      </w:tr>
      <w:tr w14:paraId="3AD2C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2046" w:type="dxa"/>
            <w:vAlign w:val="center"/>
          </w:tcPr>
          <w:p w14:paraId="17393A73">
            <w:pPr>
              <w:jc w:val="left"/>
              <w:rPr>
                <w:kern w:val="0"/>
              </w:rPr>
            </w:pPr>
            <w:r>
              <w:rPr>
                <w:rFonts w:hint="eastAsia" w:ascii="宋体" w:hAnsi="宋体"/>
                <w:kern w:val="0"/>
                <w:szCs w:val="24"/>
              </w:rPr>
              <w:t>资产管理中心</w:t>
            </w:r>
          </w:p>
        </w:tc>
        <w:tc>
          <w:tcPr>
            <w:tcW w:w="7368" w:type="dxa"/>
            <w:vAlign w:val="center"/>
          </w:tcPr>
          <w:p w14:paraId="7F32622B">
            <w:pPr>
              <w:jc w:val="left"/>
              <w:rPr>
                <w:kern w:val="0"/>
              </w:rPr>
            </w:pPr>
            <w:r>
              <w:rPr>
                <w:rFonts w:hint="eastAsia" w:ascii="宋体" w:hAnsi="宋体"/>
                <w:kern w:val="0"/>
                <w:szCs w:val="24"/>
              </w:rPr>
              <w:t>统一资产字典、统一采购调配、相关统计报表</w:t>
            </w:r>
          </w:p>
        </w:tc>
      </w:tr>
      <w:tr w14:paraId="4C7DA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2046" w:type="dxa"/>
            <w:vAlign w:val="center"/>
          </w:tcPr>
          <w:p w14:paraId="3189C997">
            <w:pPr>
              <w:jc w:val="left"/>
              <w:rPr>
                <w:kern w:val="0"/>
              </w:rPr>
            </w:pPr>
            <w:r>
              <w:rPr>
                <w:rFonts w:hint="eastAsia" w:ascii="宋体" w:hAnsi="宋体"/>
                <w:kern w:val="0"/>
                <w:szCs w:val="24"/>
              </w:rPr>
              <w:t>数据管理中心</w:t>
            </w:r>
          </w:p>
        </w:tc>
        <w:tc>
          <w:tcPr>
            <w:tcW w:w="7368" w:type="dxa"/>
            <w:vAlign w:val="center"/>
          </w:tcPr>
          <w:p w14:paraId="64829AD9">
            <w:pPr>
              <w:jc w:val="left"/>
              <w:rPr>
                <w:kern w:val="0"/>
              </w:rPr>
            </w:pPr>
            <w:r>
              <w:rPr>
                <w:rFonts w:hint="eastAsia" w:ascii="宋体" w:hAnsi="宋体"/>
                <w:kern w:val="0"/>
                <w:szCs w:val="24"/>
              </w:rPr>
              <w:t>数据关系定义、样表数据下发、报表数据上传、报表数据汇总</w:t>
            </w:r>
          </w:p>
        </w:tc>
      </w:tr>
    </w:tbl>
    <w:p w14:paraId="3B22057B">
      <w:pPr>
        <w:pStyle w:val="6"/>
        <w:numPr>
          <w:ilvl w:val="3"/>
          <w:numId w:val="16"/>
        </w:numPr>
      </w:pPr>
      <w:bookmarkStart w:id="536" w:name="_Toc115450999"/>
      <w:bookmarkStart w:id="537" w:name="_Toc119666536"/>
      <w:bookmarkStart w:id="538" w:name="_Toc1093"/>
      <w:r>
        <w:rPr>
          <w:rFonts w:hint="eastAsia"/>
        </w:rPr>
        <w:t>县级医院运营管理信息系统</w:t>
      </w:r>
      <w:bookmarkEnd w:id="536"/>
      <w:r>
        <w:rPr>
          <w:rFonts w:hint="eastAsia"/>
        </w:rPr>
        <w:t>建设</w:t>
      </w:r>
      <w:bookmarkEnd w:id="537"/>
      <w:bookmarkEnd w:id="538"/>
    </w:p>
    <w:p w14:paraId="075956A6">
      <w:pPr>
        <w:ind w:firstLine="480" w:firstLineChars="200"/>
        <w:rPr>
          <w:rFonts w:asciiTheme="minorEastAsia" w:hAnsiTheme="minorEastAsia" w:eastAsiaTheme="minorEastAsia"/>
        </w:rPr>
      </w:pPr>
      <w:r>
        <w:rPr>
          <w:rFonts w:hint="eastAsia" w:asciiTheme="minorEastAsia" w:hAnsiTheme="minorEastAsia" w:eastAsiaTheme="minorEastAsia"/>
        </w:rPr>
        <w:t>县级医院运营管理信息系统以建立管理能力、搭建基础信息化支撑为主要目标，建立县级医院人财物一体化的运营管理体系，实现对人力资源、设备物资、财务运营的协同管理，建立包括预算编制、支出控制、执行分析的预算管理体现，并初步建立科室成本核算体系，形成运营管理相关基本业务能力的全面覆盖。支持以下功能：</w:t>
      </w:r>
    </w:p>
    <w:p w14:paraId="1D8B9938">
      <w:pPr>
        <w:pStyle w:val="7"/>
        <w:numPr>
          <w:ilvl w:val="4"/>
          <w:numId w:val="16"/>
        </w:numPr>
      </w:pPr>
      <w:bookmarkStart w:id="539" w:name="_Toc161068205"/>
      <w:r>
        <w:rPr>
          <w:rFonts w:hint="eastAsia"/>
        </w:rPr>
        <w:t>业务基础平台</w:t>
      </w:r>
      <w:bookmarkEnd w:id="539"/>
    </w:p>
    <w:p w14:paraId="30E6697A">
      <w:pPr>
        <w:ind w:firstLine="480" w:firstLineChars="200"/>
        <w:jc w:val="left"/>
      </w:pPr>
      <w:r>
        <w:rPr>
          <w:rFonts w:hint="eastAsia"/>
        </w:rPr>
        <w:t>1.支持维护HRP公共信息字典，包括组织机构、员工、账套管理、会计期间、科目信息、币种、支出功能分类、计量单位、数据字典、供应商信息、生产厂商信息、客户信息、项目信息、库房信息。</w:t>
      </w:r>
    </w:p>
    <w:p w14:paraId="764D7A43">
      <w:pPr>
        <w:pStyle w:val="70"/>
        <w:ind w:firstLine="480"/>
      </w:pPr>
      <w:r>
        <w:rPr>
          <w:rFonts w:hint="eastAsia"/>
        </w:rPr>
        <w:t>2.支持角色和用户权限设置，包括业务管理员权限设置及授权、角色权限设置及授权、用户权限设置及授权：</w:t>
      </w:r>
    </w:p>
    <w:p w14:paraId="3484E6B1">
      <w:pPr>
        <w:pStyle w:val="70"/>
        <w:ind w:firstLine="480"/>
      </w:pPr>
      <w:r>
        <w:rPr>
          <w:rFonts w:hint="eastAsia"/>
        </w:rPr>
        <w:t>3.支持公告管理的设置，通过维护公告内容，并发布。可在全院查看已发布的公告内容。</w:t>
      </w:r>
    </w:p>
    <w:p w14:paraId="5162700E">
      <w:pPr>
        <w:pStyle w:val="70"/>
        <w:ind w:firstLine="480"/>
      </w:pPr>
      <w:r>
        <w:rPr>
          <w:rFonts w:hint="eastAsia"/>
        </w:rPr>
        <w:t>4.支持对基础字典的编码规则维护，支持对系统的单据号规则设置。</w:t>
      </w:r>
    </w:p>
    <w:p w14:paraId="3E2C0EC5">
      <w:pPr>
        <w:pStyle w:val="70"/>
        <w:ind w:firstLine="480"/>
        <w:rPr>
          <w:rFonts w:cs="宋体"/>
          <w:color w:val="000000"/>
          <w:kern w:val="0"/>
        </w:rPr>
      </w:pPr>
      <w:r>
        <w:rPr>
          <w:rFonts w:hint="eastAsia"/>
        </w:rPr>
        <w:t>5.支持</w:t>
      </w:r>
      <w:r>
        <w:rPr>
          <w:rFonts w:hint="eastAsia" w:cs="宋体"/>
          <w:color w:val="000000"/>
          <w:kern w:val="0"/>
        </w:rPr>
        <w:t>对各场景的自定义类型打印模板进行统一设置。</w:t>
      </w:r>
    </w:p>
    <w:p w14:paraId="641E2973">
      <w:pPr>
        <w:pStyle w:val="70"/>
        <w:ind w:firstLine="480"/>
        <w:rPr>
          <w:rFonts w:cs="宋体"/>
          <w:color w:val="000000"/>
          <w:kern w:val="0"/>
        </w:rPr>
      </w:pPr>
      <w:r>
        <w:rPr>
          <w:rFonts w:hint="eastAsia" w:cs="宋体"/>
          <w:color w:val="000000"/>
          <w:kern w:val="0"/>
        </w:rPr>
        <w:t>6.支持科室条码管理，实现对科室二维码内容设置，实现科室二维码生成和打印。</w:t>
      </w:r>
    </w:p>
    <w:p w14:paraId="70614D4C">
      <w:pPr>
        <w:pStyle w:val="70"/>
        <w:ind w:firstLine="480"/>
        <w:rPr>
          <w:rFonts w:cs="宋体"/>
          <w:color w:val="000000"/>
          <w:kern w:val="0"/>
        </w:rPr>
      </w:pPr>
      <w:r>
        <w:rPr>
          <w:rFonts w:hint="eastAsia" w:cs="宋体"/>
          <w:color w:val="000000"/>
          <w:kern w:val="0"/>
        </w:rPr>
        <w:t>7.支持自定义表单设置，可定义表单功能的业务类型、字段、布局进行排版维护。实现业务表单的灵活配置。</w:t>
      </w:r>
    </w:p>
    <w:p w14:paraId="11D53ADC">
      <w:pPr>
        <w:pStyle w:val="70"/>
        <w:ind w:firstLine="480"/>
        <w:rPr>
          <w:rFonts w:cs="宋体"/>
          <w:color w:val="000000"/>
          <w:kern w:val="0"/>
        </w:rPr>
      </w:pPr>
      <w:r>
        <w:rPr>
          <w:rFonts w:hint="eastAsia" w:cs="宋体"/>
          <w:color w:val="000000"/>
          <w:kern w:val="0"/>
        </w:rPr>
        <w:t>8.支持自定义报表设置，支持自定义数据报表、图形报表等。</w:t>
      </w:r>
    </w:p>
    <w:p w14:paraId="5E037104">
      <w:pPr>
        <w:pStyle w:val="70"/>
        <w:ind w:firstLine="480"/>
        <w:rPr>
          <w:rFonts w:cs="宋体"/>
          <w:color w:val="000000"/>
          <w:kern w:val="0"/>
        </w:rPr>
      </w:pPr>
      <w:r>
        <w:rPr>
          <w:rFonts w:hint="eastAsia" w:cs="宋体"/>
          <w:color w:val="000000"/>
          <w:kern w:val="0"/>
        </w:rPr>
        <w:t>9.支持记录并提供系统安全操作日志，可查看客户端IP、操作人、操作时间对操作内容进行查看。</w:t>
      </w:r>
    </w:p>
    <w:p w14:paraId="1E65B952">
      <w:pPr>
        <w:pStyle w:val="70"/>
        <w:ind w:firstLine="480"/>
        <w:rPr>
          <w:highlight w:val="yellow"/>
        </w:rPr>
      </w:pPr>
      <w:r>
        <w:rPr>
          <w:rFonts w:hint="eastAsia" w:cs="宋体"/>
          <w:color w:val="000000"/>
          <w:kern w:val="0"/>
        </w:rPr>
        <w:t>10.支持工作流配置，对HRP系统中涉及的表单都可自由配置审批流程。</w:t>
      </w:r>
    </w:p>
    <w:p w14:paraId="69B48918">
      <w:pPr>
        <w:pStyle w:val="7"/>
        <w:numPr>
          <w:ilvl w:val="4"/>
          <w:numId w:val="16"/>
        </w:numPr>
      </w:pPr>
      <w:bookmarkStart w:id="540" w:name="_Toc161068208"/>
      <w:r>
        <w:rPr>
          <w:rFonts w:hint="eastAsia"/>
        </w:rPr>
        <w:t>会计总账</w:t>
      </w:r>
      <w:bookmarkEnd w:id="540"/>
    </w:p>
    <w:p w14:paraId="3DB705A1">
      <w:pPr>
        <w:pStyle w:val="3"/>
      </w:pPr>
      <w:r>
        <w:rPr>
          <w:rFonts w:hint="eastAsia"/>
        </w:rPr>
        <w:t>会计核算系统建立符合新会计制度的会计总账、会计凭证、薪酬方法管理功能支撑</w:t>
      </w:r>
      <w:r>
        <w:rPr>
          <w:rFonts w:hint="eastAsia"/>
          <w:szCs w:val="24"/>
        </w:rPr>
        <w:t>，实现医院、科室、诊疗组、甚至个人级精细核算；建立一体化财务核算体系，对外与HIS等系统实现数据集成，智能采集收入、工作量信息，自动生成财务凭证；对内实现与人事、物资、设备等相关业务的协同和数据集成共享，一方面提高财务工作的效率，另一方面实现财</w:t>
      </w:r>
      <w:r>
        <w:rPr>
          <w:rFonts w:hint="eastAsia"/>
        </w:rPr>
        <w:t>务对医院经济运行过程</w:t>
      </w:r>
      <w:r>
        <w:rPr>
          <w:rFonts w:hint="eastAsia"/>
          <w:szCs w:val="24"/>
        </w:rPr>
        <w:t>的跟踪、监督和分析；</w:t>
      </w:r>
    </w:p>
    <w:p w14:paraId="06584E93">
      <w:pPr>
        <w:pStyle w:val="3"/>
      </w:pPr>
      <w:r>
        <w:rPr>
          <w:rFonts w:hint="eastAsia"/>
        </w:rPr>
        <w:t>会计核算系统功能主要包括会计总账、现金银行、往来管理、备查簿、薪酬发放、财务报表等。</w:t>
      </w:r>
    </w:p>
    <w:p w14:paraId="62CF3388">
      <w:pPr>
        <w:pStyle w:val="7"/>
        <w:numPr>
          <w:ilvl w:val="4"/>
          <w:numId w:val="16"/>
        </w:numPr>
      </w:pPr>
      <w:r>
        <w:rPr>
          <w:rFonts w:hint="eastAsia"/>
        </w:rPr>
        <w:t>薪酬管理</w:t>
      </w:r>
    </w:p>
    <w:p w14:paraId="41527158">
      <w:pPr>
        <w:pStyle w:val="19"/>
        <w:numPr>
          <w:ilvl w:val="0"/>
          <w:numId w:val="49"/>
        </w:numPr>
        <w:ind w:left="57" w:firstLine="480"/>
      </w:pPr>
      <w:r>
        <w:rPr>
          <w:rFonts w:hint="eastAsia"/>
        </w:rPr>
        <w:t>薪酬管理需要涵盖全院所有薪酬内容，包括工资、津补贴、养老保险、医疗保险、失业保险、生育险、公积金以及各项扣款等。</w:t>
      </w:r>
    </w:p>
    <w:p w14:paraId="1E6CE313">
      <w:pPr>
        <w:pStyle w:val="19"/>
        <w:numPr>
          <w:ilvl w:val="0"/>
          <w:numId w:val="49"/>
        </w:numPr>
        <w:ind w:left="57" w:firstLine="480"/>
      </w:pPr>
      <w:r>
        <w:rPr>
          <w:rFonts w:hint="eastAsia"/>
        </w:rPr>
        <w:t>支持能满足医院实现奖金的二次分配，通过设置奖金项目及奖金金额，同时下发到业务科室，业务科室根据各自的方法开展二次分配，分配完了上报至薪酬管理部门，待薪酬管理部门确认好之后，由银行代发到职工卡。</w:t>
      </w:r>
    </w:p>
    <w:p w14:paraId="2F78BDAC">
      <w:pPr>
        <w:pStyle w:val="19"/>
        <w:numPr>
          <w:ilvl w:val="0"/>
          <w:numId w:val="49"/>
        </w:numPr>
        <w:ind w:left="57" w:firstLine="480"/>
      </w:pPr>
      <w:r>
        <w:rPr>
          <w:rFonts w:hint="eastAsia"/>
        </w:rPr>
        <w:t>支持薪酬方案的自定义维护，支持针对不同资金性质，设置不同的薪资方案。支持工资或者绩效的多次发放。</w:t>
      </w:r>
    </w:p>
    <w:p w14:paraId="6FEE198C">
      <w:pPr>
        <w:pStyle w:val="19"/>
        <w:numPr>
          <w:ilvl w:val="0"/>
          <w:numId w:val="49"/>
        </w:numPr>
        <w:ind w:left="57" w:firstLine="480"/>
      </w:pPr>
      <w:r>
        <w:rPr>
          <w:rFonts w:hint="eastAsia"/>
        </w:rPr>
        <w:t>支持每月薪酬数据与会计总账的自动凭证生成。可针对不同的资金性质和不同的方案生成自动凭证。</w:t>
      </w:r>
    </w:p>
    <w:p w14:paraId="58A09D99">
      <w:pPr>
        <w:pStyle w:val="19"/>
        <w:numPr>
          <w:ilvl w:val="0"/>
          <w:numId w:val="49"/>
        </w:numPr>
        <w:ind w:left="57" w:firstLine="480"/>
      </w:pPr>
      <w:r>
        <w:rPr>
          <w:rFonts w:hint="eastAsia"/>
        </w:rPr>
        <w:t>支持根据人力资源每月考勤数据自动计算缺勤扣款等。</w:t>
      </w:r>
    </w:p>
    <w:p w14:paraId="797A940F">
      <w:pPr>
        <w:pStyle w:val="7"/>
        <w:numPr>
          <w:ilvl w:val="4"/>
          <w:numId w:val="16"/>
        </w:numPr>
      </w:pPr>
      <w:r>
        <w:rPr>
          <w:rFonts w:hint="eastAsia"/>
        </w:rPr>
        <w:t>全面预算管理系统</w:t>
      </w:r>
    </w:p>
    <w:p w14:paraId="702A0065">
      <w:pPr>
        <w:ind w:firstLine="480"/>
        <w:jc w:val="left"/>
      </w:pPr>
      <w:r>
        <w:rPr>
          <w:rFonts w:hint="eastAsia"/>
        </w:rPr>
        <w:t>全面预算管理是实现全口径、全过程、全员性的预算管理，满足公立医院全面预算管理制度要求，实现业务经营预算、收支预算、投融资预算、项目预算等。</w:t>
      </w:r>
    </w:p>
    <w:p w14:paraId="0033B7D6">
      <w:pPr>
        <w:numPr>
          <w:ilvl w:val="0"/>
          <w:numId w:val="50"/>
        </w:numPr>
        <w:ind w:left="57" w:firstLine="480"/>
        <w:jc w:val="left"/>
      </w:pPr>
      <w:r>
        <w:rPr>
          <w:rFonts w:hint="eastAsia"/>
        </w:rPr>
        <w:t>支持通过excl方式导入生成预算变样，支持预算样表下发给对应预算科室。</w:t>
      </w:r>
    </w:p>
    <w:p w14:paraId="2F29A814">
      <w:pPr>
        <w:numPr>
          <w:ilvl w:val="0"/>
          <w:numId w:val="50"/>
        </w:numPr>
        <w:ind w:left="57" w:firstLine="480"/>
        <w:jc w:val="left"/>
      </w:pPr>
      <w:r>
        <w:rPr>
          <w:rFonts w:hint="eastAsia"/>
        </w:rPr>
        <w:t>支持预算事项管理，事项科分为常规事项和非</w:t>
      </w:r>
      <w:r>
        <w:rPr>
          <w:rFonts w:hint="eastAsia" w:ascii="宋体" w:hAnsi="宋体"/>
          <w:szCs w:val="24"/>
        </w:rPr>
        <w:t>可以分为常规和非常规事项，常规事项是每年都会发生，可继承到下一年。非常规事项，今年发生后，明年不一定发生，无需继承到下一年。</w:t>
      </w:r>
    </w:p>
    <w:p w14:paraId="2003CCC7">
      <w:pPr>
        <w:numPr>
          <w:ilvl w:val="0"/>
          <w:numId w:val="50"/>
        </w:numPr>
        <w:ind w:left="57" w:firstLine="480"/>
        <w:jc w:val="left"/>
      </w:pPr>
      <w:r>
        <w:rPr>
          <w:rFonts w:hint="eastAsia"/>
          <w:szCs w:val="24"/>
        </w:rPr>
        <w:t>支持预算由业务科室编制和归口代编，并且“两上两下”预算编制流程审批。同时预算编制支持审批流配置，可按照医院需求配置流程。</w:t>
      </w:r>
    </w:p>
    <w:p w14:paraId="29116BE2">
      <w:pPr>
        <w:numPr>
          <w:ilvl w:val="0"/>
          <w:numId w:val="50"/>
        </w:numPr>
        <w:ind w:left="57" w:firstLine="480"/>
        <w:jc w:val="left"/>
      </w:pPr>
      <w:r>
        <w:rPr>
          <w:rFonts w:hint="eastAsia"/>
          <w:szCs w:val="24"/>
        </w:rPr>
        <w:t>支持预算调整业务，同时预算调整也支持审批流配置，可按照医院需求配置流程。</w:t>
      </w:r>
    </w:p>
    <w:p w14:paraId="6D5ADF48">
      <w:pPr>
        <w:numPr>
          <w:ilvl w:val="0"/>
          <w:numId w:val="50"/>
        </w:numPr>
        <w:ind w:left="57" w:firstLine="480"/>
        <w:jc w:val="left"/>
      </w:pPr>
      <w:r>
        <w:rPr>
          <w:rFonts w:hint="eastAsia"/>
          <w:szCs w:val="24"/>
        </w:rPr>
        <w:t>支持预算执行和控制，支持预算执行数手工导入和从其他业务系统取数；</w:t>
      </w:r>
    </w:p>
    <w:p w14:paraId="553B8CFE">
      <w:pPr>
        <w:jc w:val="left"/>
      </w:pPr>
      <w:r>
        <w:rPr>
          <w:rFonts w:hint="eastAsia"/>
          <w:szCs w:val="24"/>
        </w:rPr>
        <w:t>支持预算控制策略设置，可设置控制对应业务系统中的单据甚至功能点。</w:t>
      </w:r>
    </w:p>
    <w:p w14:paraId="7AE8D63C">
      <w:pPr>
        <w:numPr>
          <w:ilvl w:val="0"/>
          <w:numId w:val="50"/>
        </w:numPr>
        <w:ind w:firstLine="480"/>
        <w:jc w:val="left"/>
        <w:rPr>
          <w:rFonts w:cs="宋体"/>
          <w:color w:val="000000"/>
          <w:kern w:val="0"/>
        </w:rPr>
      </w:pPr>
      <w:r>
        <w:rPr>
          <w:rFonts w:hint="eastAsia"/>
          <w:szCs w:val="24"/>
        </w:rPr>
        <w:t>支持预警方案设置，</w:t>
      </w:r>
      <w:r>
        <w:rPr>
          <w:rFonts w:hint="eastAsia" w:ascii="宋体" w:hAnsi="宋体" w:cs="宋体"/>
          <w:color w:val="000000"/>
          <w:kern w:val="0"/>
          <w:szCs w:val="24"/>
        </w:rPr>
        <w:t>为避免预算执行偏差，设置预警方案，在预算执行过程中根据预警方案对相关人员进行提示</w:t>
      </w:r>
      <w:r>
        <w:rPr>
          <w:rFonts w:hint="eastAsia" w:cs="宋体"/>
          <w:color w:val="000000"/>
          <w:kern w:val="0"/>
          <w:szCs w:val="24"/>
        </w:rPr>
        <w:t>。</w:t>
      </w:r>
    </w:p>
    <w:p w14:paraId="14E17346">
      <w:pPr>
        <w:numPr>
          <w:ilvl w:val="0"/>
          <w:numId w:val="50"/>
        </w:numPr>
        <w:ind w:firstLine="480"/>
        <w:jc w:val="left"/>
        <w:rPr>
          <w:rFonts w:ascii="宋体" w:hAnsi="宋体" w:cs="宋体"/>
          <w:color w:val="000000"/>
          <w:kern w:val="0"/>
          <w:szCs w:val="24"/>
        </w:rPr>
      </w:pPr>
      <w:r>
        <w:rPr>
          <w:rFonts w:hint="eastAsia" w:ascii="宋体" w:hAnsi="宋体" w:cs="宋体"/>
          <w:color w:val="000000"/>
          <w:kern w:val="0"/>
          <w:szCs w:val="24"/>
        </w:rPr>
        <w:t>支持对预算执行情况进行对比分析，可以从指标、事项、科室、归口科室四个角度进行预算执行分析。</w:t>
      </w:r>
    </w:p>
    <w:p w14:paraId="57D31C3C">
      <w:pPr>
        <w:pStyle w:val="7"/>
        <w:numPr>
          <w:ilvl w:val="4"/>
          <w:numId w:val="16"/>
        </w:numPr>
      </w:pPr>
      <w:bookmarkStart w:id="541" w:name="_Toc161068207"/>
      <w:r>
        <w:rPr>
          <w:rFonts w:hint="eastAsia"/>
        </w:rPr>
        <w:t>科室成本管理系统</w:t>
      </w:r>
      <w:bookmarkEnd w:id="541"/>
    </w:p>
    <w:p w14:paraId="4F3DFBA3">
      <w:pPr>
        <w:ind w:firstLine="480" w:firstLineChars="200"/>
        <w:jc w:val="left"/>
      </w:pPr>
      <w:r>
        <w:rPr>
          <w:rFonts w:hint="eastAsia"/>
        </w:rPr>
        <w:t>科室成本核算系统支持科室成本进行核算，包括数据采集、成本归集、成本分摊、成本分析、成本监测等功能，按财政和科教项目资金来源区分医疗业务成本、医疗成本、医疗全成本和医院全成本，实现科室成本、诊次成本、床日成本，并分别从实际成本、目标成本两个维度产出成本数据，满足医院不同核算口径的管理需要，建立健全内部服务计价体系，为医院、科室算一笔明白账，规范科室经济行为，为医疗服务价格制订、政府补偿、医保支付标准测算提供数据支撑。</w:t>
      </w:r>
    </w:p>
    <w:p w14:paraId="28F9514A">
      <w:pPr>
        <w:ind w:firstLine="480" w:firstLineChars="200"/>
      </w:pPr>
      <w:r>
        <w:rPr>
          <w:rFonts w:hint="eastAsia"/>
        </w:rPr>
        <w:t>1.支持实现成本核算系统与其他系统的数据交换功能。包括：HERP外部系统和HERP系统内容各产品的数据交换。可以支持EXCEL/ACCESS等多种数据交换格式，并提供数据校验功能，及时发现数据交换过程中可能出现的各类错误，帮助用户方便、准确的完成数据采集工作；</w:t>
      </w:r>
    </w:p>
    <w:p w14:paraId="4A6A6F92">
      <w:pPr>
        <w:ind w:firstLine="480" w:firstLineChars="200"/>
        <w:jc w:val="left"/>
      </w:pPr>
      <w:r>
        <w:rPr>
          <w:rFonts w:hint="eastAsia"/>
        </w:rPr>
        <w:t xml:space="preserve"> 2.支持收入数据维护：提供收入数据的维护工作，包括增加、修改、删除、查询等各种功能，并提供收入数据按照开单科室、执行科室、收费类别的统计汇总功能；</w:t>
      </w:r>
    </w:p>
    <w:p w14:paraId="02D78041">
      <w:pPr>
        <w:ind w:firstLine="480" w:firstLineChars="200"/>
        <w:jc w:val="left"/>
      </w:pPr>
      <w:r>
        <w:rPr>
          <w:rFonts w:hint="eastAsia"/>
        </w:rPr>
        <w:t xml:space="preserve"> 3、支持成本数据维护：提供直接成本、待冲基金和内部服务数据的维护工作，包括增加、修改、删除、查询等各种功能；</w:t>
      </w:r>
    </w:p>
    <w:p w14:paraId="463F0AE9">
      <w:pPr>
        <w:ind w:firstLine="200"/>
        <w:jc w:val="left"/>
      </w:pPr>
      <w:r>
        <w:rPr>
          <w:rFonts w:hint="eastAsia"/>
        </w:rPr>
        <w:t xml:space="preserve"> </w:t>
      </w:r>
      <w:r>
        <w:t xml:space="preserve"> </w:t>
      </w:r>
      <w:r>
        <w:rPr>
          <w:rFonts w:hint="eastAsia"/>
        </w:rPr>
        <w:t>4、支持实现按照“四类三级法”对医院成本数据的分摊，完成全成本核算工作，提供了全成本分摊、待冲基金分摊处理，并提供了分摊前的数据校验，确保分摊结果的准确性。可以根据用户需求灵活的设置各种分摊方法；</w:t>
      </w:r>
    </w:p>
    <w:p w14:paraId="2F63CAC4">
      <w:pPr>
        <w:pStyle w:val="19"/>
        <w:spacing w:after="0"/>
        <w:ind w:firstLine="480" w:firstLineChars="200"/>
        <w:jc w:val="left"/>
      </w:pPr>
      <w:r>
        <w:rPr>
          <w:rFonts w:hint="eastAsia"/>
        </w:rPr>
        <w:t>5、成本报表分析：对成本核算产出的结果进行完整的、全方位的展现。包括：科室成本报表、诊次和床日成本报表等。</w:t>
      </w:r>
    </w:p>
    <w:p w14:paraId="73752466">
      <w:pPr>
        <w:pStyle w:val="7"/>
        <w:numPr>
          <w:ilvl w:val="4"/>
          <w:numId w:val="16"/>
        </w:numPr>
      </w:pPr>
      <w:bookmarkStart w:id="542" w:name="_Toc161068209"/>
      <w:r>
        <w:rPr>
          <w:rFonts w:hint="eastAsia"/>
        </w:rPr>
        <w:t>智能报账管理系统</w:t>
      </w:r>
      <w:bookmarkEnd w:id="542"/>
    </w:p>
    <w:p w14:paraId="20D5AAD7">
      <w:pPr>
        <w:ind w:firstLine="480" w:firstLineChars="200"/>
        <w:jc w:val="left"/>
      </w:pPr>
      <w:r>
        <w:rPr>
          <w:rFonts w:hint="eastAsia"/>
        </w:rPr>
        <w:t>报账管理系统功能支持预算信息、个人业务办理、业务审批、财务处理、预算执行统计、基础设置、发票管理等。</w:t>
      </w:r>
    </w:p>
    <w:p w14:paraId="703F40DE">
      <w:pPr>
        <w:pStyle w:val="70"/>
        <w:ind w:firstLine="480"/>
      </w:pPr>
      <w:r>
        <w:rPr>
          <w:rFonts w:hint="eastAsia"/>
        </w:rPr>
        <w:t>1.预算信息：支持支出预算从预算管理系统同步，也可支持通过excl表方式导入支出预算。</w:t>
      </w:r>
    </w:p>
    <w:p w14:paraId="1F462467">
      <w:pPr>
        <w:pStyle w:val="70"/>
        <w:ind w:firstLine="480"/>
      </w:pPr>
      <w:r>
        <w:rPr>
          <w:rFonts w:hint="eastAsia"/>
        </w:rPr>
        <w:t>2.个人业务：由员工个人进行个人业务申请。包括我的申请、我的借款、我的报销、我的发票，借款查询等。个人业务办理涵盖员工日常报销所涉及的多类业务，包括申请、借款、报销、预警、查询功能，涉及的业务包括日常差旅、出国、会议、培训等内容。</w:t>
      </w:r>
    </w:p>
    <w:p w14:paraId="56FA9883">
      <w:pPr>
        <w:pStyle w:val="70"/>
        <w:ind w:firstLine="480"/>
      </w:pPr>
      <w:r>
        <w:rPr>
          <w:rFonts w:hint="eastAsia"/>
        </w:rPr>
        <w:t>3.发票管理：支持通过OCR识别，扫描增值税发票、电子发票、飞机票、火车票、出租车票等，提取相关票据信息，并完成自动填单。支持发票的查重和验真。</w:t>
      </w:r>
    </w:p>
    <w:p w14:paraId="11A6BA0B">
      <w:pPr>
        <w:jc w:val="left"/>
      </w:pPr>
      <w:r>
        <w:rPr>
          <w:rFonts w:hint="eastAsia"/>
        </w:rPr>
        <w:t xml:space="preserve"> 4.业务审批：该模块主要提供对各项申请信息业务单据的审批功能，包括事前申请、借款申请、还款申请、报销申请等。同时支持灵活多变的工作流配置。</w:t>
      </w:r>
    </w:p>
    <w:p w14:paraId="6CB7943B">
      <w:pPr>
        <w:pStyle w:val="70"/>
        <w:ind w:firstLine="480"/>
      </w:pPr>
      <w:r>
        <w:rPr>
          <w:rFonts w:hint="eastAsia"/>
        </w:rPr>
        <w:t>5.财务处理:财务处理功能是对各业务单据进行财务处理，包括借款管理和报销管理。详细模块包括借款初始化、借款支付、借款查询、还款单、到期预警表、借款冲销查询.</w:t>
      </w:r>
    </w:p>
    <w:p w14:paraId="17BDFEA3">
      <w:pPr>
        <w:pStyle w:val="70"/>
        <w:ind w:firstLine="480"/>
      </w:pPr>
      <w:r>
        <w:rPr>
          <w:rFonts w:hint="eastAsia"/>
        </w:rPr>
        <w:t>6.报表查询：实现对报销业务涉及的预算进行执行情况的查询和分析，可查询员工个人及科室借款还款情况，科室费用预算执行情况。</w:t>
      </w:r>
    </w:p>
    <w:p w14:paraId="1854DA3A">
      <w:pPr>
        <w:pStyle w:val="3"/>
      </w:pPr>
      <w:r>
        <w:rPr>
          <w:rFonts w:hint="eastAsia"/>
        </w:rPr>
        <w:t>7.基础设置：包括交通工具设置、报销标准设置等。报销标准是对实际报销业务进行类别管理，设定各自的标准，如：报销级别、交通费的标准、出国的标准、差旅费的标准等。</w:t>
      </w:r>
    </w:p>
    <w:p w14:paraId="071E95D5">
      <w:pPr>
        <w:pStyle w:val="7"/>
        <w:numPr>
          <w:ilvl w:val="4"/>
          <w:numId w:val="16"/>
        </w:numPr>
      </w:pPr>
      <w:bookmarkStart w:id="543" w:name="_Toc161068210"/>
      <w:r>
        <w:rPr>
          <w:rFonts w:hint="eastAsia"/>
        </w:rPr>
        <w:t>固定资产管理系统</w:t>
      </w:r>
      <w:bookmarkEnd w:id="543"/>
    </w:p>
    <w:p w14:paraId="46E6C0C3">
      <w:pPr>
        <w:ind w:firstLine="240" w:firstLineChars="100"/>
        <w:jc w:val="left"/>
      </w:pPr>
      <w:r>
        <w:rPr>
          <w:rFonts w:hint="eastAsia"/>
        </w:rPr>
        <w:t xml:space="preserve">  固定资产管理系统功能支持库房管理、资产盘点、卡片管理、资产变动、财务管理、条码管理、基础设置等。</w:t>
      </w:r>
    </w:p>
    <w:p w14:paraId="4990E9F9">
      <w:pPr>
        <w:pStyle w:val="70"/>
        <w:ind w:firstLine="480"/>
      </w:pPr>
      <w:r>
        <w:rPr>
          <w:rFonts w:hint="eastAsia"/>
        </w:rPr>
        <w:t>1.库房管理：库房管理是通过财务手段处理资产管理的必经流程，通过库房业务对资产的进出及实际领用等状态进行精确跟踪，包括了入库、退库、领用和退货功能。</w:t>
      </w:r>
    </w:p>
    <w:p w14:paraId="3143CEB9">
      <w:pPr>
        <w:pStyle w:val="70"/>
        <w:ind w:firstLine="480"/>
      </w:pPr>
      <w:r>
        <w:rPr>
          <w:rFonts w:hint="eastAsia"/>
        </w:rPr>
        <w:t>2.资产盘点：资产盘点功能是通过核对数据，并对正常或异常的数据做出处理，得出固定资产的实际情况，其具体功能包括资产盘点单和资产盘盈盘亏单及资产盘点清单。</w:t>
      </w:r>
    </w:p>
    <w:p w14:paraId="48F030F9">
      <w:pPr>
        <w:pStyle w:val="70"/>
        <w:ind w:firstLine="480"/>
      </w:pPr>
      <w:r>
        <w:rPr>
          <w:rFonts w:hint="eastAsia"/>
        </w:rPr>
        <w:t>3.卡片管理：资产管理的核心就是卡片管理，几乎所有的固定资产操作都是围绕着资产卡片进行的。在卡片管理中，用户可以录入资产卡片，也可以从入库单中生成资产卡片；同时卡片管理中也提供卡片的拆分功能提供按资金来源分配原值、预计残值和累计折旧功能。</w:t>
      </w:r>
    </w:p>
    <w:p w14:paraId="09622EB7">
      <w:pPr>
        <w:pStyle w:val="70"/>
        <w:ind w:firstLine="480"/>
      </w:pPr>
      <w:r>
        <w:rPr>
          <w:rFonts w:hint="eastAsia"/>
        </w:rPr>
        <w:t>4.资产变动：资产变动主要针对资产转移、原值变动、资产分类变动、资金来源变动及资产使用状态变动业务实现系统功能，如果需要变更固定资产的存放库房或者使用科室，可以使用资产变动的资产转移功能，包括：库-库转移和科室-科室转移；如果需要变更固定资产的原值，可以使用资产原值变更的功能，原值变动包括附件增加、汇率调整、局部修缮；如果入库时不确定资金来源，可以通过累计折旧调整实现资金来源的变动。</w:t>
      </w:r>
    </w:p>
    <w:p w14:paraId="32777713">
      <w:pPr>
        <w:pStyle w:val="70"/>
        <w:ind w:firstLine="480"/>
      </w:pPr>
      <w:r>
        <w:rPr>
          <w:rFonts w:hint="eastAsia"/>
        </w:rPr>
        <w:t>5.财务管理：支持财务对资产卡片的折旧与摊销、补提折旧、资产处置等。同时能提供多种处置类型，包括报废、报损、无偿调拨、捐赠、置换等。</w:t>
      </w:r>
    </w:p>
    <w:p w14:paraId="36AA8A34">
      <w:pPr>
        <w:pStyle w:val="70"/>
        <w:ind w:firstLine="480"/>
      </w:pPr>
      <w:r>
        <w:rPr>
          <w:rFonts w:hint="eastAsia"/>
        </w:rPr>
        <w:t>6.条码管理：同时支持一维码和二维条码设置及打印。可自定义条码包含的内容信息，比如资产编号、购入日期、生产厂商、使用科室等。</w:t>
      </w:r>
    </w:p>
    <w:p w14:paraId="1623A1A9">
      <w:pPr>
        <w:pStyle w:val="70"/>
        <w:ind w:firstLine="480"/>
      </w:pPr>
      <w:r>
        <w:rPr>
          <w:rFonts w:hint="eastAsia"/>
        </w:rPr>
        <w:t>7.资产报表：固定资产管理系统中包含较为丰富财务报表，能够满足财务上日常业务工作和管理工作。具体包资产月报、资产总账、折旧汇总表、折旧明细表、折旧到期表、资产分布表、固定资产清单、资产表动表、资产折旧补提表、资产综合查询以及自定义报表等。</w:t>
      </w:r>
    </w:p>
    <w:p w14:paraId="61E87736">
      <w:pPr>
        <w:pStyle w:val="70"/>
        <w:ind w:firstLine="480"/>
      </w:pPr>
      <w:r>
        <w:rPr>
          <w:rFonts w:hint="eastAsia"/>
        </w:rPr>
        <w:t>8.系统设置：包括涉及固定资产工作流程设置、基础字典设置等。</w:t>
      </w:r>
    </w:p>
    <w:p w14:paraId="4CE8F7B4">
      <w:pPr>
        <w:pStyle w:val="7"/>
        <w:numPr>
          <w:ilvl w:val="4"/>
          <w:numId w:val="16"/>
        </w:numPr>
      </w:pPr>
      <w:bookmarkStart w:id="544" w:name="_Toc161068212"/>
      <w:r>
        <w:rPr>
          <w:rFonts w:hint="eastAsia"/>
        </w:rPr>
        <w:t>人力资源管理系统</w:t>
      </w:r>
      <w:bookmarkEnd w:id="544"/>
    </w:p>
    <w:p w14:paraId="0FDC54DE">
      <w:pPr>
        <w:ind w:firstLine="480" w:firstLineChars="200"/>
        <w:jc w:val="left"/>
      </w:pPr>
      <w:r>
        <w:rPr>
          <w:rFonts w:hint="eastAsia"/>
        </w:rPr>
        <w:t>在优化人力资源管理工作流程、人力资源归口管理基础上，通过信息化应用建立健全员工动态档案，构建覆盖全院全员的人力资源管理平台，实现人事科、相关职能部门（财务、绩效、科教、医务、护理等）、医疗业务部门的人事业务协同。系统应用模块应支持如下功能需求：</w:t>
      </w:r>
    </w:p>
    <w:p w14:paraId="48AD34A3">
      <w:pPr>
        <w:pStyle w:val="70"/>
        <w:ind w:firstLine="480"/>
      </w:pPr>
      <w:r>
        <w:rPr>
          <w:rFonts w:hint="eastAsia"/>
        </w:rPr>
        <w:t>1.组织机构管理：组织机构管理提供包括医院各科室的完整组织机构框架，并管理整个组织演变的过程；同时允许通过直观的界面操作，进行机构的相关操作。可查看科室的人员基本信息，包括科室人员构成情况，学历情况，职称情况，男女情况等。</w:t>
      </w:r>
    </w:p>
    <w:p w14:paraId="19853B4A">
      <w:pPr>
        <w:pStyle w:val="70"/>
        <w:ind w:firstLine="480"/>
      </w:pPr>
      <w:r>
        <w:rPr>
          <w:rFonts w:hint="eastAsia"/>
        </w:rPr>
        <w:t>2.人员管理：支持医院各归口部门对各类职工的基本信息、工作履历、学习培训、执业资格、绩效考核、奖惩记录、科研学术、家庭情况等各种信息的维护和管理。提供员工个人档案修改记录存储和查询。</w:t>
      </w:r>
    </w:p>
    <w:p w14:paraId="1FB12601">
      <w:pPr>
        <w:pStyle w:val="70"/>
        <w:ind w:firstLine="480"/>
      </w:pPr>
      <w:r>
        <w:rPr>
          <w:rFonts w:hint="eastAsia"/>
        </w:rPr>
        <w:t>3.开具证明：支持员工线上申请个人收入证明、在职证明的申请及审核。让信息多跑腿，让员工少跑腿。</w:t>
      </w:r>
    </w:p>
    <w:p w14:paraId="08FB1947">
      <w:pPr>
        <w:pStyle w:val="70"/>
        <w:ind w:firstLine="480"/>
      </w:pPr>
      <w:r>
        <w:rPr>
          <w:rFonts w:hint="eastAsia"/>
        </w:rPr>
        <w:t>4.入职管理：需提供便捷的填写新入职员工的个人信息的方式，新员工填写的跟人信息流转到待入职管理，科室管理员对待入职管理员工进行批量的入职登记，登记确认后即可转为医院人员档案信息。</w:t>
      </w:r>
    </w:p>
    <w:p w14:paraId="34686932">
      <w:pPr>
        <w:pStyle w:val="70"/>
        <w:ind w:firstLine="480"/>
      </w:pPr>
      <w:r>
        <w:rPr>
          <w:rFonts w:hint="eastAsia"/>
        </w:rPr>
        <w:t>5.人事异动：需支持员工内部调动、人员借调、论转、岗位评定等业务办理，并同时支持内部调动、人员借调、论转、岗位评定等业务流程审批。</w:t>
      </w:r>
    </w:p>
    <w:p w14:paraId="1F69CA27">
      <w:pPr>
        <w:pStyle w:val="70"/>
        <w:ind w:firstLine="480"/>
      </w:pPr>
      <w:r>
        <w:rPr>
          <w:rFonts w:hint="eastAsia"/>
        </w:rPr>
        <w:t>6.离职管理：支持员工线上发起离职业务申请，离职业务需要支持流程审批。</w:t>
      </w:r>
    </w:p>
    <w:p w14:paraId="0E803288">
      <w:pPr>
        <w:pStyle w:val="70"/>
        <w:ind w:firstLine="480"/>
      </w:pPr>
      <w:r>
        <w:rPr>
          <w:rFonts w:hint="eastAsia"/>
        </w:rPr>
        <w:t>7.假勤管理：支持员工休假及考勤管理业务办理。支持年假自动计算等。</w:t>
      </w:r>
    </w:p>
    <w:p w14:paraId="0971B33F">
      <w:pPr>
        <w:pStyle w:val="70"/>
        <w:ind w:firstLine="480"/>
      </w:pPr>
      <w:r>
        <w:rPr>
          <w:rFonts w:hint="eastAsia"/>
        </w:rPr>
        <w:t>考勤管理支持由科室考勤人员上报本科室考勤结果并完成审批后汇总到人事处审核，审核通过的考勤月报作为医院考勤薪酬核算的依据。</w:t>
      </w:r>
    </w:p>
    <w:p w14:paraId="62F19D8A">
      <w:pPr>
        <w:pStyle w:val="70"/>
        <w:ind w:firstLine="480"/>
      </w:pPr>
      <w:r>
        <w:rPr>
          <w:rFonts w:hint="eastAsia"/>
        </w:rPr>
        <w:t>能够实现员工请休假管理。员工提交休假申请且在申请时能自动显示可用假期余额，根据权限由各级管理者审批，最后形成休假申请记录，也可以直接录入休假申请数据；员工休假后提交销假申请并根据权限由各级管理者审批，最后形成休假记录，也可以直接录入休假记录。</w:t>
      </w:r>
    </w:p>
    <w:p w14:paraId="0F7BEBA0">
      <w:pPr>
        <w:pStyle w:val="70"/>
        <w:ind w:firstLine="480"/>
      </w:pPr>
      <w:r>
        <w:rPr>
          <w:rFonts w:hint="eastAsia"/>
        </w:rPr>
        <w:t>支持加班设置、加班申请、加班统计及加班费计算等功能。</w:t>
      </w:r>
    </w:p>
    <w:p w14:paraId="14BDA253">
      <w:pPr>
        <w:pStyle w:val="70"/>
        <w:ind w:firstLine="480"/>
      </w:pPr>
      <w:r>
        <w:rPr>
          <w:rFonts w:hint="eastAsia"/>
        </w:rPr>
        <w:t>8.预警管理：支持员工生日到期提醒、退休到期提醒、合同到期、人员调动提醒等多种日常工作提醒，实现日常工作的自动预警。</w:t>
      </w:r>
    </w:p>
    <w:p w14:paraId="21D3CCB8">
      <w:pPr>
        <w:pStyle w:val="70"/>
        <w:ind w:firstLine="480"/>
        <w:rPr>
          <w:rFonts w:cs="宋体"/>
          <w:color w:val="000000"/>
          <w:kern w:val="0"/>
        </w:rPr>
      </w:pPr>
      <w:r>
        <w:rPr>
          <w:rFonts w:hint="eastAsia"/>
        </w:rPr>
        <w:t>9.人员价值分析：支持</w:t>
      </w:r>
      <w:r>
        <w:rPr>
          <w:rFonts w:hint="eastAsia" w:cs="宋体"/>
          <w:color w:val="000000"/>
          <w:kern w:val="0"/>
        </w:rPr>
        <w:t>查看个人的人员价值，包括学历、工作量、医疗事故等；</w:t>
      </w:r>
    </w:p>
    <w:p w14:paraId="005D0C9E">
      <w:pPr>
        <w:pStyle w:val="70"/>
        <w:ind w:firstLine="480"/>
        <w:rPr>
          <w:rFonts w:cs="宋体"/>
          <w:color w:val="000000"/>
          <w:kern w:val="0"/>
        </w:rPr>
      </w:pPr>
      <w:r>
        <w:rPr>
          <w:rFonts w:hint="eastAsia" w:cs="宋体"/>
          <w:color w:val="000000"/>
          <w:kern w:val="0"/>
        </w:rPr>
        <w:t>10.人事报表：支持报表灵活设置，支持自定义报表。</w:t>
      </w:r>
    </w:p>
    <w:p w14:paraId="5C5FCC64">
      <w:pPr>
        <w:pStyle w:val="6"/>
        <w:numPr>
          <w:ilvl w:val="3"/>
          <w:numId w:val="16"/>
        </w:numPr>
      </w:pPr>
      <w:bookmarkStart w:id="545" w:name="_Toc161068213"/>
      <w:r>
        <w:rPr>
          <w:rFonts w:hint="eastAsia"/>
        </w:rPr>
        <w:t>基层医疗机构</w:t>
      </w:r>
      <w:bookmarkEnd w:id="545"/>
      <w:r>
        <w:rPr>
          <w:rFonts w:hint="eastAsia"/>
        </w:rPr>
        <w:t>运营管理系统建设</w:t>
      </w:r>
    </w:p>
    <w:p w14:paraId="170672CF">
      <w:pPr>
        <w:pStyle w:val="7"/>
        <w:numPr>
          <w:ilvl w:val="4"/>
          <w:numId w:val="16"/>
        </w:numPr>
      </w:pPr>
      <w:r>
        <w:rPr>
          <w:rFonts w:hint="eastAsia"/>
        </w:rPr>
        <w:t>业务基础平台</w:t>
      </w:r>
    </w:p>
    <w:p w14:paraId="58E90430">
      <w:pPr>
        <w:pStyle w:val="3"/>
      </w:pPr>
      <w:r>
        <w:rPr>
          <w:rFonts w:hint="eastAsia" w:asciiTheme="minorEastAsia" w:hAnsiTheme="minorEastAsia" w:eastAsiaTheme="minorEastAsia"/>
        </w:rPr>
        <w:t>支持以下功能：</w:t>
      </w:r>
    </w:p>
    <w:p w14:paraId="52F63F22">
      <w:pPr>
        <w:ind w:firstLine="480" w:firstLineChars="200"/>
        <w:jc w:val="left"/>
      </w:pPr>
      <w:r>
        <w:rPr>
          <w:rFonts w:hint="eastAsia"/>
        </w:rPr>
        <w:t>1.支持维护HRP公共信息字典，包括组织机构、员工、账套管理、会计期间、科目信息、币种、支出功能分类、计量单位、数据字典、供应商信息、生产厂商信息、客户信息、项目信息、库房信息。</w:t>
      </w:r>
    </w:p>
    <w:p w14:paraId="3A068B82">
      <w:pPr>
        <w:pStyle w:val="70"/>
        <w:ind w:firstLine="480"/>
      </w:pPr>
      <w:r>
        <w:rPr>
          <w:rFonts w:hint="eastAsia"/>
        </w:rPr>
        <w:t>2.支持角色和用户权限设置，包括业务管理员权限设置及授权、角色权限设置及授权、用户权限设置及授权：</w:t>
      </w:r>
    </w:p>
    <w:p w14:paraId="5F8A9BF8">
      <w:pPr>
        <w:pStyle w:val="70"/>
        <w:ind w:firstLine="480"/>
      </w:pPr>
      <w:r>
        <w:rPr>
          <w:rFonts w:hint="eastAsia"/>
        </w:rPr>
        <w:t>3.支持公告管理的设置，通过维护公告内容，并发布。可在全院查看已发布的公告内容。</w:t>
      </w:r>
    </w:p>
    <w:p w14:paraId="7B1554E9">
      <w:pPr>
        <w:pStyle w:val="70"/>
        <w:ind w:firstLine="480"/>
      </w:pPr>
      <w:r>
        <w:rPr>
          <w:rFonts w:hint="eastAsia"/>
        </w:rPr>
        <w:t>4.支持对基础字典的编码规则维护，支持对系统的单据号规则设置。</w:t>
      </w:r>
    </w:p>
    <w:p w14:paraId="2BA30E70">
      <w:pPr>
        <w:pStyle w:val="70"/>
        <w:ind w:firstLine="480"/>
        <w:rPr>
          <w:rFonts w:cs="宋体"/>
          <w:color w:val="000000"/>
          <w:kern w:val="0"/>
        </w:rPr>
      </w:pPr>
      <w:r>
        <w:rPr>
          <w:rFonts w:hint="eastAsia"/>
        </w:rPr>
        <w:t>5.支持</w:t>
      </w:r>
      <w:r>
        <w:rPr>
          <w:rFonts w:hint="eastAsia" w:cs="宋体"/>
          <w:color w:val="000000"/>
          <w:kern w:val="0"/>
        </w:rPr>
        <w:t>对各场景的自定义类型打印模板进行统一设置。</w:t>
      </w:r>
    </w:p>
    <w:p w14:paraId="78BB8716">
      <w:pPr>
        <w:pStyle w:val="70"/>
        <w:ind w:firstLine="480"/>
        <w:rPr>
          <w:rFonts w:cs="宋体"/>
          <w:color w:val="000000"/>
          <w:kern w:val="0"/>
        </w:rPr>
      </w:pPr>
      <w:r>
        <w:rPr>
          <w:rFonts w:hint="eastAsia" w:cs="宋体"/>
          <w:color w:val="000000"/>
          <w:kern w:val="0"/>
        </w:rPr>
        <w:t>6.支持科室条码管理，实现对科室二维码内容设置，实现科室二维码生成和打印。</w:t>
      </w:r>
    </w:p>
    <w:p w14:paraId="667228F3">
      <w:pPr>
        <w:pStyle w:val="70"/>
        <w:ind w:firstLine="480"/>
        <w:rPr>
          <w:rFonts w:cs="宋体"/>
          <w:color w:val="000000"/>
          <w:kern w:val="0"/>
        </w:rPr>
      </w:pPr>
      <w:r>
        <w:rPr>
          <w:rFonts w:hint="eastAsia" w:cs="宋体"/>
          <w:color w:val="000000"/>
          <w:kern w:val="0"/>
        </w:rPr>
        <w:t>7.支持自定义表单设置，可定义表单功能的业务类型、字段、布局进行排版维护。实现业务表单的灵活配置。</w:t>
      </w:r>
    </w:p>
    <w:p w14:paraId="464F4027">
      <w:pPr>
        <w:pStyle w:val="70"/>
        <w:ind w:firstLine="480"/>
        <w:rPr>
          <w:rFonts w:cs="宋体"/>
          <w:color w:val="000000"/>
          <w:kern w:val="0"/>
        </w:rPr>
      </w:pPr>
      <w:r>
        <w:rPr>
          <w:rFonts w:hint="eastAsia" w:cs="宋体"/>
          <w:color w:val="000000"/>
          <w:kern w:val="0"/>
        </w:rPr>
        <w:t>8.支持自定义报表设置，支持自定义数据报表、图形报表等。</w:t>
      </w:r>
    </w:p>
    <w:p w14:paraId="5E5E8585">
      <w:pPr>
        <w:pStyle w:val="70"/>
        <w:ind w:firstLine="480"/>
        <w:rPr>
          <w:rFonts w:cs="宋体"/>
          <w:color w:val="000000"/>
          <w:kern w:val="0"/>
        </w:rPr>
      </w:pPr>
      <w:r>
        <w:rPr>
          <w:rFonts w:hint="eastAsia" w:cs="宋体"/>
          <w:color w:val="000000"/>
          <w:kern w:val="0"/>
        </w:rPr>
        <w:t>9.支持记录并提供系统安全操作日志，可查看客户端IP、操作人、操作时间对操作内容进行查看。</w:t>
      </w:r>
    </w:p>
    <w:p w14:paraId="362093B5">
      <w:pPr>
        <w:pStyle w:val="7"/>
        <w:numPr>
          <w:ilvl w:val="4"/>
          <w:numId w:val="16"/>
        </w:numPr>
      </w:pPr>
      <w:r>
        <w:rPr>
          <w:rFonts w:hint="eastAsia"/>
        </w:rPr>
        <w:t>会计核算系统</w:t>
      </w:r>
    </w:p>
    <w:p w14:paraId="25DB550B">
      <w:pPr>
        <w:pStyle w:val="3"/>
      </w:pPr>
      <w:r>
        <w:rPr>
          <w:rFonts w:hint="eastAsia" w:asciiTheme="minorEastAsia" w:hAnsiTheme="minorEastAsia" w:eastAsiaTheme="minorEastAsia"/>
        </w:rPr>
        <w:t>支持以下功能：</w:t>
      </w:r>
    </w:p>
    <w:p w14:paraId="62738628">
      <w:pPr>
        <w:pStyle w:val="3"/>
      </w:pPr>
      <w:r>
        <w:rPr>
          <w:rFonts w:hint="eastAsia"/>
          <w:szCs w:val="24"/>
        </w:rPr>
        <w:t>基层医疗机构的</w:t>
      </w:r>
      <w:r>
        <w:rPr>
          <w:rFonts w:hint="eastAsia"/>
        </w:rPr>
        <w:t>会计核算系统建立符合新会计制度的会计总账、会计凭证、薪酬方法管理功能支撑</w:t>
      </w:r>
      <w:r>
        <w:rPr>
          <w:rFonts w:hint="eastAsia"/>
          <w:szCs w:val="24"/>
        </w:rPr>
        <w:t>，实现医院、科室级精细核算；建立一体化财务核算体系；实现与人事、物资、资产等相关业务的协同和数据集成共享；</w:t>
      </w:r>
    </w:p>
    <w:p w14:paraId="73D8F442">
      <w:pPr>
        <w:pStyle w:val="3"/>
      </w:pPr>
      <w:r>
        <w:rPr>
          <w:rFonts w:hint="eastAsia"/>
        </w:rPr>
        <w:t>会计核算系统功能主要包括会计总账、现金银行、备查簿、薪酬发放、财务报表等。</w:t>
      </w:r>
    </w:p>
    <w:p w14:paraId="633D99D9">
      <w:pPr>
        <w:pStyle w:val="7"/>
        <w:numPr>
          <w:ilvl w:val="4"/>
          <w:numId w:val="16"/>
        </w:numPr>
      </w:pPr>
      <w:r>
        <w:rPr>
          <w:rFonts w:hint="eastAsia"/>
        </w:rPr>
        <w:t>固定资产管理系统</w:t>
      </w:r>
    </w:p>
    <w:p w14:paraId="58E02AEA">
      <w:pPr>
        <w:pStyle w:val="3"/>
      </w:pPr>
      <w:r>
        <w:rPr>
          <w:rFonts w:hint="eastAsia" w:asciiTheme="minorEastAsia" w:hAnsiTheme="minorEastAsia" w:eastAsiaTheme="minorEastAsia"/>
        </w:rPr>
        <w:t>支持以下功能：</w:t>
      </w:r>
    </w:p>
    <w:p w14:paraId="7A76EC5B">
      <w:pPr>
        <w:jc w:val="left"/>
      </w:pPr>
      <w:r>
        <w:rPr>
          <w:rFonts w:hint="eastAsia"/>
        </w:rPr>
        <w:t xml:space="preserve">    固定资产管理系统功能主要包括库房管理、资产盘点、卡片管理、资产变动、财务管理、条码管理、基础设置等。</w:t>
      </w:r>
    </w:p>
    <w:p w14:paraId="2387F09F">
      <w:pPr>
        <w:pStyle w:val="70"/>
        <w:ind w:firstLine="480"/>
      </w:pPr>
      <w:r>
        <w:rPr>
          <w:rFonts w:hint="eastAsia"/>
        </w:rPr>
        <w:t>1.库房管理：库房管理是通过财务手段处理资产管理的必经流程，通过库房业务对资产的进出及实际领用等状态进行精确跟踪，包括了入库、退库、领用和退货功能。</w:t>
      </w:r>
    </w:p>
    <w:p w14:paraId="638E1E6A">
      <w:pPr>
        <w:pStyle w:val="70"/>
        <w:ind w:firstLine="480"/>
      </w:pPr>
      <w:r>
        <w:rPr>
          <w:rFonts w:hint="eastAsia"/>
        </w:rPr>
        <w:t>2.资产盘点：资产盘点功能是通过核对数据，并对正常或异常的数据做出处理，得出固定资产的实际情况，其具体功能包括资产盘点单和资产盘盈盘亏单及资产盘点清单。</w:t>
      </w:r>
    </w:p>
    <w:p w14:paraId="4856847C">
      <w:pPr>
        <w:pStyle w:val="70"/>
        <w:ind w:firstLine="480"/>
      </w:pPr>
      <w:r>
        <w:rPr>
          <w:rFonts w:hint="eastAsia"/>
        </w:rPr>
        <w:t>3.卡片管理：资产管理的核心就是卡片管理，几乎所有的固定资产操作都是围绕着资产卡片进行的。在卡片管理中，用户可以录入资产卡片，也可以从入库单中生成资产卡片；同时卡片管理中也提供卡片的拆分功能提供按资金来源分配原值、预计残值和累计折旧功能。</w:t>
      </w:r>
    </w:p>
    <w:p w14:paraId="19453CD0">
      <w:pPr>
        <w:pStyle w:val="70"/>
        <w:ind w:firstLine="480"/>
      </w:pPr>
      <w:r>
        <w:rPr>
          <w:rFonts w:hint="eastAsia"/>
        </w:rPr>
        <w:t>4.资产变动：资产变动主要针对资产转移、原值变动、资产分类变动、资金来源变动及资产使用状态变动业务实现系统功能，如果需要变更固定资产的存放库房或者使用科室，可以使用资产变动的资产转移功能，包括：库-库转移和科室-科室转移；如果需要变更固定资产的原值，可以使用资产原值变更的功能，原值变动包括附件增加、汇率调整、局部修缮；如果入库时不确定资金来源，可以通过累计折旧调整实现资金来源的变动。</w:t>
      </w:r>
    </w:p>
    <w:p w14:paraId="5BF3F3E2">
      <w:pPr>
        <w:pStyle w:val="70"/>
        <w:ind w:firstLine="480"/>
      </w:pPr>
      <w:r>
        <w:rPr>
          <w:rFonts w:hint="eastAsia"/>
        </w:rPr>
        <w:t>5.财务管理：支持财务对资产卡片的折旧与摊销、补提折旧、资产处置等。同时能提供多种处置类型，包括报废、报损、无偿调拨、捐赠、置换等。</w:t>
      </w:r>
    </w:p>
    <w:p w14:paraId="3270C8B4">
      <w:pPr>
        <w:pStyle w:val="70"/>
        <w:ind w:firstLine="480"/>
      </w:pPr>
      <w:r>
        <w:rPr>
          <w:rFonts w:hint="eastAsia"/>
        </w:rPr>
        <w:t>6.资产报表：固定资产管理系统中包含较为丰富财务报表，能够满足财务上日常业务工作和管理工作。具体包资产月报、资产总账、折旧汇总表、折旧明细表、折旧到期表、资产分布表、固定资产清单、资产表动表、资产折旧补提表、资产综合查询以及自定义报表等。</w:t>
      </w:r>
    </w:p>
    <w:p w14:paraId="019F7F9D">
      <w:pPr>
        <w:pStyle w:val="70"/>
        <w:ind w:firstLine="480"/>
      </w:pPr>
      <w:r>
        <w:rPr>
          <w:rFonts w:hint="eastAsia"/>
        </w:rPr>
        <w:t>8.系统设置：包括涉及固定资产工作流程设置、基础字典设置等。</w:t>
      </w:r>
    </w:p>
    <w:p w14:paraId="54DDA051">
      <w:pPr>
        <w:pStyle w:val="7"/>
        <w:numPr>
          <w:ilvl w:val="4"/>
          <w:numId w:val="16"/>
        </w:numPr>
      </w:pPr>
      <w:r>
        <w:rPr>
          <w:rFonts w:hint="eastAsia"/>
        </w:rPr>
        <w:t>人力资源管理系统</w:t>
      </w:r>
    </w:p>
    <w:p w14:paraId="0775F5A2">
      <w:pPr>
        <w:pStyle w:val="3"/>
      </w:pPr>
      <w:r>
        <w:rPr>
          <w:rFonts w:hint="eastAsia" w:asciiTheme="minorEastAsia" w:hAnsiTheme="minorEastAsia" w:eastAsiaTheme="minorEastAsia"/>
        </w:rPr>
        <w:t>支持以下功能：</w:t>
      </w:r>
    </w:p>
    <w:p w14:paraId="0F2969B2">
      <w:pPr>
        <w:pStyle w:val="70"/>
        <w:ind w:firstLine="480"/>
      </w:pPr>
      <w:r>
        <w:rPr>
          <w:rFonts w:hint="eastAsia"/>
        </w:rPr>
        <w:t>1.组织机构管理：组织机构管理提供包括医院各科室的完整组织机构框架，并管理整个组织演变的过程；同时允许通过直观的界面操作，进行机构的相关操作。可查看科室的人员基本信息，包括科室人员构成情况，学历情况，职称情况，男女情况等。</w:t>
      </w:r>
    </w:p>
    <w:p w14:paraId="496200C6">
      <w:pPr>
        <w:pStyle w:val="70"/>
        <w:ind w:firstLine="480"/>
      </w:pPr>
      <w:r>
        <w:rPr>
          <w:rFonts w:hint="eastAsia"/>
        </w:rPr>
        <w:t>2.人员管理：支持医院各归口部门对各类职工的基本信息、工作履历、学习培训、执业资格、绩效考核、奖惩记录、科研学术、家庭情况等各种信息的维护和管理。提供员工个人档案修改记录存储和查询。</w:t>
      </w:r>
    </w:p>
    <w:p w14:paraId="15467401">
      <w:pPr>
        <w:pStyle w:val="70"/>
        <w:ind w:firstLine="480"/>
      </w:pPr>
      <w:r>
        <w:rPr>
          <w:rFonts w:hint="eastAsia"/>
        </w:rPr>
        <w:t>3.入职管理：需提供便捷的填写新入职员工的个人信息的方式，新员工填写的跟人信息流转到待入职管理，科室管理员对待入职管理员工进行批量的入职登记，登记确认后即可转为医院人员档案信息。</w:t>
      </w:r>
    </w:p>
    <w:p w14:paraId="604B20E5">
      <w:pPr>
        <w:pStyle w:val="70"/>
        <w:ind w:firstLine="480"/>
      </w:pPr>
      <w:r>
        <w:rPr>
          <w:rFonts w:hint="eastAsia"/>
        </w:rPr>
        <w:t>4.人事异动：需支持员工内部调动等业务办理。</w:t>
      </w:r>
    </w:p>
    <w:p w14:paraId="34729234">
      <w:pPr>
        <w:pStyle w:val="70"/>
        <w:ind w:firstLine="480"/>
      </w:pPr>
      <w:r>
        <w:rPr>
          <w:rFonts w:hint="eastAsia"/>
        </w:rPr>
        <w:t>5.考勤管理：支持员工休假及考勤管理业务办理。支持年假自动计算等。</w:t>
      </w:r>
    </w:p>
    <w:p w14:paraId="05598CE3">
      <w:pPr>
        <w:pStyle w:val="70"/>
        <w:ind w:firstLine="480"/>
      </w:pPr>
      <w:r>
        <w:rPr>
          <w:rFonts w:hint="eastAsia"/>
        </w:rPr>
        <w:t>考勤管理支持由科室考勤人员上报本科室考勤结果并完成审批后汇总到人事处审核，审核通过的考勤月报作为医院考勤薪酬核算的依据。</w:t>
      </w:r>
    </w:p>
    <w:p w14:paraId="38D73055">
      <w:pPr>
        <w:pStyle w:val="70"/>
        <w:ind w:firstLine="480"/>
      </w:pPr>
      <w:r>
        <w:rPr>
          <w:rFonts w:hint="eastAsia"/>
        </w:rPr>
        <w:t>6.预警管理：支持员工生日到期提醒、退休到期提醒、合同到期、人员调动提醒等多种日常工作提醒，实现日常工作的自动预警。</w:t>
      </w:r>
    </w:p>
    <w:p w14:paraId="604E29A0">
      <w:pPr>
        <w:pStyle w:val="70"/>
        <w:ind w:firstLine="480"/>
        <w:rPr>
          <w:rFonts w:cs="宋体"/>
          <w:color w:val="000000"/>
          <w:kern w:val="0"/>
        </w:rPr>
      </w:pPr>
      <w:r>
        <w:rPr>
          <w:rFonts w:hint="eastAsia" w:cs="宋体"/>
          <w:color w:val="000000"/>
          <w:kern w:val="0"/>
        </w:rPr>
        <w:t>7.人事报表：支持报表灵活设置，支持自定义报表。</w:t>
      </w:r>
    </w:p>
    <w:p w14:paraId="7D217FB4">
      <w:pPr>
        <w:pStyle w:val="5"/>
        <w:numPr>
          <w:ilvl w:val="2"/>
          <w:numId w:val="16"/>
        </w:numPr>
      </w:pPr>
      <w:bookmarkStart w:id="546" w:name="_Toc202539088"/>
      <w:bookmarkStart w:id="547" w:name="_Toc174548601"/>
      <w:r>
        <w:rPr>
          <w:rFonts w:hint="eastAsia"/>
        </w:rPr>
        <w:t>医共体</w:t>
      </w:r>
      <w:bookmarkEnd w:id="546"/>
      <w:bookmarkEnd w:id="547"/>
      <w:r>
        <w:rPr>
          <w:rFonts w:hint="eastAsia"/>
        </w:rPr>
        <w:t>综合运营监管平台</w:t>
      </w:r>
    </w:p>
    <w:p w14:paraId="391451ED">
      <w:pPr>
        <w:pStyle w:val="6"/>
        <w:numPr>
          <w:ilvl w:val="3"/>
          <w:numId w:val="16"/>
        </w:numPr>
      </w:pPr>
      <w:bookmarkStart w:id="548" w:name="_Toc174548602"/>
      <w:r>
        <w:t>医共体基本特征</w:t>
      </w:r>
      <w:bookmarkEnd w:id="548"/>
    </w:p>
    <w:p w14:paraId="7C14CD33">
      <w:pPr>
        <w:pStyle w:val="3"/>
      </w:pPr>
      <w:r>
        <w:rPr>
          <w:rFonts w:hint="eastAsia" w:asciiTheme="minorEastAsia" w:hAnsiTheme="minorEastAsia" w:eastAsiaTheme="minorEastAsia"/>
        </w:rPr>
        <w:t>支持以下功能：</w:t>
      </w:r>
    </w:p>
    <w:p w14:paraId="443F8B51">
      <w:pPr>
        <w:ind w:firstLine="480" w:firstLineChars="200"/>
        <w:rPr>
          <w:rFonts w:asciiTheme="minorEastAsia" w:hAnsiTheme="minorEastAsia" w:eastAsiaTheme="minorEastAsia"/>
        </w:rPr>
      </w:pPr>
      <w:r>
        <w:rPr>
          <w:rFonts w:hint="eastAsia"/>
        </w:rPr>
        <w:t>支持</w:t>
      </w:r>
      <w:r>
        <w:rPr>
          <w:rFonts w:hint="eastAsia" w:asciiTheme="minorEastAsia" w:hAnsiTheme="minorEastAsia" w:eastAsiaTheme="minorEastAsia"/>
        </w:rPr>
        <w:t>参考《</w:t>
      </w:r>
      <w:r>
        <w:fldChar w:fldCharType="begin"/>
      </w:r>
      <w:r>
        <w:instrText xml:space="preserve"> HYPERLINK "https://www.gov.cn/zhengce/zhengceku/2020-09/18/5544471/files/003f6cbf640b4e3791619afd59a3ab6e.doc" \t "_blank" </w:instrText>
      </w:r>
      <w:r>
        <w:fldChar w:fldCharType="separate"/>
      </w:r>
      <w:r>
        <w:rPr>
          <w:rFonts w:hint="eastAsia" w:asciiTheme="minorEastAsia" w:hAnsiTheme="minorEastAsia" w:eastAsiaTheme="minorEastAsia"/>
        </w:rPr>
        <w:t>紧密型县域医疗卫生共同体建设监测指标体系（试行）</w:t>
      </w:r>
      <w:r>
        <w:rPr>
          <w:rFonts w:hint="eastAsia" w:asciiTheme="minorEastAsia" w:hAnsiTheme="minorEastAsia" w:eastAsiaTheme="minorEastAsia"/>
        </w:rPr>
        <w:fldChar w:fldCharType="end"/>
      </w:r>
      <w:r>
        <w:rPr>
          <w:rFonts w:hint="eastAsia" w:asciiTheme="minorEastAsia" w:hAnsiTheme="minorEastAsia" w:eastAsiaTheme="minorEastAsia"/>
        </w:rPr>
        <w:t>》建设要求，</w:t>
      </w:r>
      <w:r>
        <w:rPr>
          <w:rFonts w:asciiTheme="minorEastAsia" w:hAnsiTheme="minorEastAsia" w:eastAsiaTheme="minorEastAsia"/>
        </w:rPr>
        <w:t>重点监测评价</w:t>
      </w:r>
      <w:r>
        <w:rPr>
          <w:rFonts w:hint="eastAsia" w:asciiTheme="minorEastAsia" w:hAnsiTheme="minorEastAsia" w:eastAsiaTheme="minorEastAsia"/>
        </w:rPr>
        <w:t>县域人口密度（人/平方公里）、距离周边地市的交通时间、县域常住人口中 65 岁以上老年人占比、县人均 GDP（万元）、县城乡居民医疗保险/人均筹资金额、县域千人口床位数、县域千人口县级公立医院床位数、县域千人口民营医院床位数、县域千人口卫生技术人员数（人/千人）、县域千人口执业（助理）医师数（人/千人）、县域千人口注册护士数（人/千人）、城乡居民/医保基金当年结余率、城乡居民/医保基金历史结余率、医共体出院患者平均费用（元）、医共体牵头医院出院患者平均费用（元）、医共体基层医疗卫生机构出院患者平均费用（元）、医共体门急诊次均费用、医共体内医保资金占业务收入比例、县域患者满意度、医共体医务人员满意度指标</w:t>
      </w:r>
      <w:r>
        <w:rPr>
          <w:rFonts w:asciiTheme="minorEastAsia" w:hAnsiTheme="minorEastAsia" w:eastAsiaTheme="minorEastAsia"/>
        </w:rPr>
        <w:t>情况。</w:t>
      </w:r>
    </w:p>
    <w:p w14:paraId="5D5A5114">
      <w:pPr>
        <w:pStyle w:val="6"/>
        <w:numPr>
          <w:ilvl w:val="3"/>
          <w:numId w:val="16"/>
        </w:numPr>
      </w:pPr>
      <w:bookmarkStart w:id="549" w:name="_Toc174548603"/>
      <w:r>
        <w:t>医共体</w:t>
      </w:r>
      <w:r>
        <w:rPr>
          <w:rFonts w:hint="eastAsia"/>
        </w:rPr>
        <w:t>监测指标</w:t>
      </w:r>
      <w:bookmarkEnd w:id="549"/>
    </w:p>
    <w:p w14:paraId="7664135D">
      <w:pPr>
        <w:pStyle w:val="7"/>
        <w:numPr>
          <w:ilvl w:val="4"/>
          <w:numId w:val="16"/>
        </w:numPr>
        <w:rPr>
          <w:rFonts w:asciiTheme="minorEastAsia" w:hAnsiTheme="minorEastAsia" w:eastAsiaTheme="minorEastAsia"/>
        </w:rPr>
      </w:pPr>
      <w:r>
        <w:rPr>
          <w:rFonts w:asciiTheme="minorEastAsia" w:hAnsiTheme="minorEastAsia" w:eastAsiaTheme="minorEastAsia"/>
        </w:rPr>
        <w:t>就医格局</w:t>
      </w:r>
      <w:r>
        <w:rPr>
          <w:rFonts w:hint="eastAsia" w:asciiTheme="minorEastAsia" w:hAnsiTheme="minorEastAsia" w:eastAsiaTheme="minorEastAsia"/>
        </w:rPr>
        <w:t>分析</w:t>
      </w:r>
    </w:p>
    <w:p w14:paraId="57BAD8C3">
      <w:pPr>
        <w:ind w:firstLine="480" w:firstLineChars="200"/>
        <w:rPr>
          <w:rFonts w:asciiTheme="minorEastAsia" w:hAnsiTheme="minorEastAsia" w:eastAsiaTheme="minorEastAsia"/>
        </w:rPr>
      </w:pPr>
      <w:r>
        <w:rPr>
          <w:rFonts w:hint="eastAsia"/>
        </w:rPr>
        <w:t>支持</w:t>
      </w:r>
      <w:r>
        <w:rPr>
          <w:rFonts w:hint="eastAsia" w:asciiTheme="minorEastAsia" w:hAnsiTheme="minorEastAsia" w:eastAsiaTheme="minorEastAsia"/>
        </w:rPr>
        <w:t>参考《</w:t>
      </w:r>
      <w:r>
        <w:fldChar w:fldCharType="begin"/>
      </w:r>
      <w:r>
        <w:instrText xml:space="preserve"> HYPERLINK "https://www.gov.cn/zhengce/zhengceku/2020-09/18/5544471/files/003f6cbf640b4e3791619afd59a3ab6e.doc" \t "_blank" </w:instrText>
      </w:r>
      <w:r>
        <w:fldChar w:fldCharType="separate"/>
      </w:r>
      <w:r>
        <w:rPr>
          <w:rFonts w:hint="eastAsia" w:asciiTheme="minorEastAsia" w:hAnsiTheme="minorEastAsia" w:eastAsiaTheme="minorEastAsia"/>
        </w:rPr>
        <w:t>紧密型县域医疗卫生共同体建设监测指标体系（试行）</w:t>
      </w:r>
      <w:r>
        <w:rPr>
          <w:rFonts w:hint="eastAsia" w:asciiTheme="minorEastAsia" w:hAnsiTheme="minorEastAsia" w:eastAsiaTheme="minorEastAsia"/>
        </w:rPr>
        <w:fldChar w:fldCharType="end"/>
      </w:r>
      <w:r>
        <w:rPr>
          <w:rFonts w:hint="eastAsia" w:asciiTheme="minorEastAsia" w:hAnsiTheme="minorEastAsia" w:eastAsiaTheme="minorEastAsia"/>
        </w:rPr>
        <w:t>》建设要求，</w:t>
      </w:r>
      <w:r>
        <w:rPr>
          <w:rFonts w:asciiTheme="minorEastAsia" w:hAnsiTheme="minorEastAsia" w:eastAsiaTheme="minorEastAsia"/>
        </w:rPr>
        <w:t>重点监测评价</w:t>
      </w:r>
      <w:r>
        <w:rPr>
          <w:rFonts w:hint="eastAsia" w:asciiTheme="minorEastAsia" w:hAnsiTheme="minorEastAsia" w:eastAsiaTheme="minorEastAsia"/>
        </w:rPr>
        <w:t>县域内住院人次占比、县域内就诊率、县域内基层医疗卫生机构门急诊占比、县域内基层医疗卫生机构中医药门急诊占比、牵头医院下转患者数量占比、慢病患者基层医疗卫生机构管理率、基层医疗卫生机构人均收入与牵头医院人均收入的比值情况。</w:t>
      </w:r>
    </w:p>
    <w:p w14:paraId="5A3102D3">
      <w:pPr>
        <w:pStyle w:val="7"/>
        <w:numPr>
          <w:ilvl w:val="4"/>
          <w:numId w:val="16"/>
        </w:numPr>
        <w:rPr>
          <w:rFonts w:asciiTheme="minorEastAsia" w:hAnsiTheme="minorEastAsia" w:eastAsiaTheme="minorEastAsia"/>
        </w:rPr>
      </w:pPr>
      <w:r>
        <w:rPr>
          <w:rFonts w:asciiTheme="minorEastAsia" w:hAnsiTheme="minorEastAsia" w:eastAsiaTheme="minorEastAsia"/>
        </w:rPr>
        <w:t>服务能力</w:t>
      </w:r>
      <w:r>
        <w:rPr>
          <w:rFonts w:hint="eastAsia" w:asciiTheme="minorEastAsia" w:hAnsiTheme="minorEastAsia" w:eastAsiaTheme="minorEastAsia"/>
        </w:rPr>
        <w:t>分析</w:t>
      </w:r>
    </w:p>
    <w:p w14:paraId="050993F3">
      <w:pPr>
        <w:ind w:firstLine="440" w:firstLineChars="200"/>
        <w:rPr>
          <w:rFonts w:asciiTheme="minorEastAsia" w:hAnsiTheme="minorEastAsia" w:eastAsiaTheme="minorEastAsia"/>
        </w:rPr>
      </w:pPr>
      <w:r>
        <w:rPr>
          <w:rFonts w:hint="eastAsia" w:ascii="宋体" w:hAnsi="宋体" w:cs="宋体"/>
          <w:color w:val="000000"/>
          <w:kern w:val="0"/>
          <w:sz w:val="22"/>
          <w:lang w:bidi="ar"/>
        </w:rPr>
        <w:t>▲</w:t>
      </w:r>
      <w:r>
        <w:rPr>
          <w:rFonts w:hint="eastAsia"/>
        </w:rPr>
        <w:t>支持</w:t>
      </w:r>
      <w:r>
        <w:rPr>
          <w:rFonts w:hint="eastAsia" w:asciiTheme="minorEastAsia" w:hAnsiTheme="minorEastAsia" w:eastAsiaTheme="minorEastAsia"/>
        </w:rPr>
        <w:t>参考《</w:t>
      </w:r>
      <w:r>
        <w:fldChar w:fldCharType="begin"/>
      </w:r>
      <w:r>
        <w:instrText xml:space="preserve"> HYPERLINK "https://www.gov.cn/zhengce/zhengceku/2020-09/18/5544471/files/003f6cbf640b4e3791619afd59a3ab6e.doc" \t "_blank" </w:instrText>
      </w:r>
      <w:r>
        <w:fldChar w:fldCharType="separate"/>
      </w:r>
      <w:r>
        <w:rPr>
          <w:rFonts w:hint="eastAsia" w:asciiTheme="minorEastAsia" w:hAnsiTheme="minorEastAsia" w:eastAsiaTheme="minorEastAsia"/>
        </w:rPr>
        <w:t>紧密型县域医疗卫生共同体建设监测指标体系（试行）</w:t>
      </w:r>
      <w:r>
        <w:rPr>
          <w:rFonts w:hint="eastAsia" w:asciiTheme="minorEastAsia" w:hAnsiTheme="minorEastAsia" w:eastAsiaTheme="minorEastAsia"/>
        </w:rPr>
        <w:fldChar w:fldCharType="end"/>
      </w:r>
      <w:r>
        <w:rPr>
          <w:rFonts w:hint="eastAsia" w:asciiTheme="minorEastAsia" w:hAnsiTheme="minorEastAsia" w:eastAsiaTheme="minorEastAsia"/>
        </w:rPr>
        <w:t>》建设要求，</w:t>
      </w:r>
      <w:r>
        <w:rPr>
          <w:rFonts w:asciiTheme="minorEastAsia" w:hAnsiTheme="minorEastAsia" w:eastAsiaTheme="minorEastAsia"/>
        </w:rPr>
        <w:t>重点监测评价</w:t>
      </w:r>
      <w:r>
        <w:rPr>
          <w:rFonts w:hint="eastAsia" w:asciiTheme="minorEastAsia" w:hAnsiTheme="minorEastAsia" w:eastAsiaTheme="minorEastAsia"/>
        </w:rPr>
        <w:t>牵头医院是否达到县级综合医院或中医医院综合能力推荐标准、牵头医院出院患者三四级手术比例、区域内万人口全科医生数、牵头医院帮助基层开展新技术、新项目的数量、“优质服务基层行” 活动分别达到基本标准和推荐标准机构数量、国家基本公共卫生服务项目实施情况、牵头医院医疗服务收入占医疗收入的比例</w:t>
      </w:r>
      <w:r>
        <w:rPr>
          <w:rFonts w:asciiTheme="minorEastAsia" w:hAnsiTheme="minorEastAsia" w:eastAsiaTheme="minorEastAsia"/>
        </w:rPr>
        <w:t>指标</w:t>
      </w:r>
      <w:r>
        <w:rPr>
          <w:rFonts w:hint="eastAsia" w:asciiTheme="minorEastAsia" w:hAnsiTheme="minorEastAsia" w:eastAsiaTheme="minorEastAsia"/>
        </w:rPr>
        <w:t>情况</w:t>
      </w:r>
      <w:r>
        <w:rPr>
          <w:rFonts w:asciiTheme="minorEastAsia" w:hAnsiTheme="minorEastAsia" w:eastAsiaTheme="minorEastAsia"/>
        </w:rPr>
        <w:t>。</w:t>
      </w:r>
      <w:r>
        <w:rPr>
          <w:rFonts w:hint="eastAsia"/>
        </w:rPr>
        <w:t>（提供系统截图证明）</w:t>
      </w:r>
    </w:p>
    <w:p w14:paraId="669E0B0F">
      <w:pPr>
        <w:pStyle w:val="7"/>
        <w:numPr>
          <w:ilvl w:val="4"/>
          <w:numId w:val="16"/>
        </w:numPr>
        <w:rPr>
          <w:rFonts w:asciiTheme="minorEastAsia" w:hAnsiTheme="minorEastAsia" w:eastAsiaTheme="minorEastAsia"/>
        </w:rPr>
      </w:pPr>
      <w:r>
        <w:rPr>
          <w:rFonts w:asciiTheme="minorEastAsia" w:hAnsiTheme="minorEastAsia" w:eastAsiaTheme="minorEastAsia"/>
        </w:rPr>
        <w:t>资源利用</w:t>
      </w:r>
      <w:r>
        <w:rPr>
          <w:rFonts w:hint="eastAsia" w:asciiTheme="minorEastAsia" w:hAnsiTheme="minorEastAsia" w:eastAsiaTheme="minorEastAsia"/>
        </w:rPr>
        <w:t>分析</w:t>
      </w:r>
    </w:p>
    <w:p w14:paraId="344B319A">
      <w:pPr>
        <w:ind w:firstLine="440" w:firstLineChars="200"/>
        <w:rPr>
          <w:rFonts w:asciiTheme="minorEastAsia" w:hAnsiTheme="minorEastAsia" w:eastAsiaTheme="minorEastAsia"/>
        </w:rPr>
      </w:pPr>
      <w:r>
        <w:rPr>
          <w:rFonts w:hint="eastAsia" w:ascii="宋体" w:hAnsi="宋体" w:cs="宋体"/>
          <w:color w:val="000000"/>
          <w:kern w:val="0"/>
          <w:sz w:val="22"/>
          <w:lang w:bidi="ar"/>
        </w:rPr>
        <w:t>▲</w:t>
      </w:r>
      <w:r>
        <w:rPr>
          <w:rFonts w:hint="eastAsia"/>
        </w:rPr>
        <w:t>支持</w:t>
      </w:r>
      <w:r>
        <w:rPr>
          <w:rFonts w:hint="eastAsia" w:asciiTheme="minorEastAsia" w:hAnsiTheme="minorEastAsia" w:eastAsiaTheme="minorEastAsia"/>
        </w:rPr>
        <w:t>参考《</w:t>
      </w:r>
      <w:r>
        <w:fldChar w:fldCharType="begin"/>
      </w:r>
      <w:r>
        <w:instrText xml:space="preserve"> HYPERLINK "https://www.gov.cn/zhengce/zhengceku/2020-09/18/5544471/files/003f6cbf640b4e3791619afd59a3ab6e.doc" \t "_blank" </w:instrText>
      </w:r>
      <w:r>
        <w:fldChar w:fldCharType="separate"/>
      </w:r>
      <w:r>
        <w:rPr>
          <w:rFonts w:hint="eastAsia" w:asciiTheme="minorEastAsia" w:hAnsiTheme="minorEastAsia" w:eastAsiaTheme="minorEastAsia"/>
        </w:rPr>
        <w:t>紧密型县域医疗卫生共同体建设监测指标体系（试行）</w:t>
      </w:r>
      <w:r>
        <w:rPr>
          <w:rFonts w:hint="eastAsia" w:asciiTheme="minorEastAsia" w:hAnsiTheme="minorEastAsia" w:eastAsiaTheme="minorEastAsia"/>
        </w:rPr>
        <w:fldChar w:fldCharType="end"/>
      </w:r>
      <w:r>
        <w:rPr>
          <w:rFonts w:hint="eastAsia" w:asciiTheme="minorEastAsia" w:hAnsiTheme="minorEastAsia" w:eastAsiaTheme="minorEastAsia"/>
        </w:rPr>
        <w:t>》建设要求，</w:t>
      </w:r>
      <w:r>
        <w:rPr>
          <w:rFonts w:asciiTheme="minorEastAsia" w:hAnsiTheme="minorEastAsia" w:eastAsiaTheme="minorEastAsia"/>
        </w:rPr>
        <w:t>重点监测评价</w:t>
      </w:r>
      <w:r>
        <w:rPr>
          <w:rFonts w:hint="eastAsia" w:asciiTheme="minorEastAsia" w:hAnsiTheme="minorEastAsia" w:eastAsiaTheme="minorEastAsia"/>
        </w:rPr>
        <w:t>基层医疗卫生机构医疗服务收入占医疗收入的比例、基层医疗卫生机构医师日均担负诊疗人次、基层医疗卫生机构床位使用率、牵头医院人员经费占业务支出比例、基层医疗卫生机构财政补助收入占总收入的比例</w:t>
      </w:r>
      <w:r>
        <w:rPr>
          <w:rFonts w:asciiTheme="minorEastAsia" w:hAnsiTheme="minorEastAsia" w:eastAsiaTheme="minorEastAsia"/>
        </w:rPr>
        <w:t>指标。</w:t>
      </w:r>
      <w:r>
        <w:rPr>
          <w:rFonts w:hint="eastAsia"/>
        </w:rPr>
        <w:t>（提供系统截图证明）</w:t>
      </w:r>
    </w:p>
    <w:p w14:paraId="7986AA80">
      <w:pPr>
        <w:pStyle w:val="7"/>
        <w:numPr>
          <w:ilvl w:val="4"/>
          <w:numId w:val="16"/>
        </w:numPr>
        <w:rPr>
          <w:rFonts w:asciiTheme="minorEastAsia" w:hAnsiTheme="minorEastAsia" w:eastAsiaTheme="minorEastAsia"/>
        </w:rPr>
      </w:pPr>
      <w:r>
        <w:rPr>
          <w:rFonts w:asciiTheme="minorEastAsia" w:hAnsiTheme="minorEastAsia" w:eastAsiaTheme="minorEastAsia"/>
        </w:rPr>
        <w:t>医保效能</w:t>
      </w:r>
      <w:r>
        <w:rPr>
          <w:rFonts w:hint="eastAsia" w:asciiTheme="minorEastAsia" w:hAnsiTheme="minorEastAsia" w:eastAsiaTheme="minorEastAsia"/>
        </w:rPr>
        <w:t>分析</w:t>
      </w:r>
    </w:p>
    <w:p w14:paraId="20158DD5">
      <w:pPr>
        <w:ind w:firstLine="440" w:firstLineChars="200"/>
      </w:pPr>
      <w:r>
        <w:rPr>
          <w:rFonts w:hint="eastAsia" w:ascii="宋体" w:hAnsi="宋体" w:cs="宋体"/>
          <w:color w:val="000000"/>
          <w:kern w:val="0"/>
          <w:sz w:val="22"/>
          <w:lang w:bidi="ar"/>
        </w:rPr>
        <w:t>▲</w:t>
      </w:r>
      <w:r>
        <w:rPr>
          <w:rFonts w:hint="eastAsia"/>
        </w:rPr>
        <w:t>支持</w:t>
      </w:r>
      <w:r>
        <w:rPr>
          <w:rFonts w:hint="eastAsia" w:asciiTheme="minorEastAsia" w:hAnsiTheme="minorEastAsia" w:eastAsiaTheme="minorEastAsia"/>
        </w:rPr>
        <w:t>参考《</w:t>
      </w:r>
      <w:r>
        <w:fldChar w:fldCharType="begin"/>
      </w:r>
      <w:r>
        <w:instrText xml:space="preserve"> HYPERLINK "https://www.gov.cn/zhengce/zhengceku/2020-09/18/5544471/files/003f6cbf640b4e3791619afd59a3ab6e.doc" \t "_blank" </w:instrText>
      </w:r>
      <w:r>
        <w:fldChar w:fldCharType="separate"/>
      </w:r>
      <w:r>
        <w:rPr>
          <w:rFonts w:hint="eastAsia" w:asciiTheme="minorEastAsia" w:hAnsiTheme="minorEastAsia" w:eastAsiaTheme="minorEastAsia"/>
        </w:rPr>
        <w:t>紧密型县域医疗卫生共同体建设监测指标体系（试行）</w:t>
      </w:r>
      <w:r>
        <w:rPr>
          <w:rFonts w:hint="eastAsia" w:asciiTheme="minorEastAsia" w:hAnsiTheme="minorEastAsia" w:eastAsiaTheme="minorEastAsia"/>
        </w:rPr>
        <w:fldChar w:fldCharType="end"/>
      </w:r>
      <w:r>
        <w:rPr>
          <w:rFonts w:hint="eastAsia" w:asciiTheme="minorEastAsia" w:hAnsiTheme="minorEastAsia" w:eastAsiaTheme="minorEastAsia"/>
        </w:rPr>
        <w:t>》建设要求，</w:t>
      </w:r>
      <w:r>
        <w:rPr>
          <w:rFonts w:asciiTheme="minorEastAsia" w:hAnsiTheme="minorEastAsia" w:eastAsiaTheme="minorEastAsia"/>
        </w:rPr>
        <w:t>重点监测评价</w:t>
      </w:r>
      <w:r>
        <w:rPr>
          <w:rFonts w:hint="eastAsia" w:asciiTheme="minorEastAsia" w:hAnsiTheme="minorEastAsia" w:eastAsiaTheme="minorEastAsia"/>
        </w:rPr>
        <w:t>医保基金县域内支出率、县域内基层医疗卫生机构医保基金占比、医保考核结果、县域门诊次均费用、参保人员住院次均费用、住院费用实际报销比、参保人员年住院率</w:t>
      </w:r>
      <w:r>
        <w:rPr>
          <w:rFonts w:asciiTheme="minorEastAsia" w:hAnsiTheme="minorEastAsia" w:eastAsiaTheme="minorEastAsia"/>
        </w:rPr>
        <w:t>指标。</w:t>
      </w:r>
      <w:r>
        <w:rPr>
          <w:rFonts w:hint="eastAsia"/>
        </w:rPr>
        <w:t xml:space="preserve">（提供系统截图证明）    </w:t>
      </w:r>
    </w:p>
    <w:p w14:paraId="6DD5F9AA">
      <w:pPr>
        <w:pStyle w:val="7"/>
        <w:numPr>
          <w:ilvl w:val="4"/>
          <w:numId w:val="16"/>
        </w:numPr>
        <w:rPr>
          <w:rFonts w:asciiTheme="minorEastAsia" w:hAnsiTheme="minorEastAsia" w:eastAsiaTheme="minorEastAsia"/>
        </w:rPr>
      </w:pPr>
      <w:r>
        <w:rPr>
          <w:rFonts w:hint="eastAsia" w:asciiTheme="minorEastAsia" w:hAnsiTheme="minorEastAsia" w:eastAsiaTheme="minorEastAsia"/>
        </w:rPr>
        <w:t>资源中心监测分析</w:t>
      </w:r>
    </w:p>
    <w:p w14:paraId="3577858C">
      <w:pPr>
        <w:pStyle w:val="3"/>
      </w:pPr>
      <w:r>
        <w:rPr>
          <w:rFonts w:hint="eastAsia"/>
        </w:rPr>
        <w:t>支持分析医共体</w:t>
      </w:r>
      <w:r>
        <w:rPr>
          <w:rFonts w:hint="eastAsia" w:asciiTheme="minorEastAsia" w:hAnsiTheme="minorEastAsia" w:eastAsiaTheme="minorEastAsia"/>
        </w:rPr>
        <w:t>资源中心</w:t>
      </w:r>
      <w:r>
        <w:rPr>
          <w:rFonts w:hint="eastAsia"/>
        </w:rPr>
        <w:t>建设情况，促进医共体高质量管理；从</w:t>
      </w:r>
      <w:r>
        <w:rPr>
          <w:rFonts w:hint="eastAsia" w:cs="宋体"/>
          <w:color w:val="000000"/>
          <w:kern w:val="0"/>
          <w:szCs w:val="24"/>
        </w:rPr>
        <w:t>区域影像诊断中心、超声远程诊断中心、区域病理诊断中心、区域心电诊断中心、区域医学检验中心、区域消毒供应中心、院前急救中心、区域辅助审方中心、区域慢病管理中心、远程会诊中心方面，</w:t>
      </w:r>
      <w:r>
        <w:rPr>
          <w:rFonts w:hint="eastAsia"/>
        </w:rPr>
        <w:t>具备查询统计分析功能对重要指标有相关维度统计。</w:t>
      </w:r>
    </w:p>
    <w:p w14:paraId="25C97438">
      <w:pPr>
        <w:pStyle w:val="4"/>
        <w:numPr>
          <w:ilvl w:val="1"/>
          <w:numId w:val="16"/>
        </w:numPr>
        <w:rPr>
          <w:rFonts w:asciiTheme="minorEastAsia" w:hAnsiTheme="minorEastAsia" w:eastAsiaTheme="minorEastAsia"/>
        </w:rPr>
      </w:pPr>
      <w:bookmarkStart w:id="550" w:name="_Toc202539089"/>
      <w:r>
        <w:rPr>
          <w:rFonts w:hint="eastAsia" w:asciiTheme="minorEastAsia" w:hAnsiTheme="minorEastAsia" w:eastAsiaTheme="minorEastAsia"/>
        </w:rPr>
        <w:t>乌拉特前旗人民医院系统升级</w:t>
      </w:r>
    </w:p>
    <w:p w14:paraId="0DDC1035">
      <w:pPr>
        <w:pStyle w:val="5"/>
        <w:numPr>
          <w:ilvl w:val="2"/>
          <w:numId w:val="16"/>
        </w:numPr>
        <w:rPr>
          <w:rFonts w:asciiTheme="minorEastAsia" w:hAnsiTheme="minorEastAsia" w:eastAsiaTheme="minorEastAsia"/>
        </w:rPr>
      </w:pPr>
      <w:r>
        <w:rPr>
          <w:rFonts w:hint="eastAsia" w:asciiTheme="minorEastAsia" w:hAnsiTheme="minorEastAsia" w:eastAsiaTheme="minorEastAsia"/>
        </w:rPr>
        <w:t>移动护理系统升级</w:t>
      </w:r>
      <w:bookmarkEnd w:id="550"/>
    </w:p>
    <w:p w14:paraId="5FE91D15">
      <w:pPr>
        <w:pStyle w:val="3"/>
      </w:pPr>
      <w:r>
        <w:rPr>
          <w:rFonts w:hint="eastAsia" w:asciiTheme="minorEastAsia" w:hAnsiTheme="minorEastAsia" w:eastAsiaTheme="minorEastAsia"/>
        </w:rPr>
        <w:t>具备支持以下功能：</w:t>
      </w:r>
    </w:p>
    <w:p w14:paraId="2AAC67C7">
      <w:pPr>
        <w:pStyle w:val="6"/>
        <w:numPr>
          <w:ilvl w:val="3"/>
          <w:numId w:val="16"/>
        </w:numPr>
      </w:pPr>
      <w:bookmarkStart w:id="551" w:name="_Toc202539090"/>
      <w:r>
        <w:rPr>
          <w:rFonts w:hint="eastAsia"/>
        </w:rPr>
        <w:t>表单管理</w:t>
      </w:r>
      <w:bookmarkEnd w:id="551"/>
    </w:p>
    <w:p w14:paraId="3CD339F5">
      <w:pPr>
        <w:pStyle w:val="3"/>
      </w:pPr>
      <w:r>
        <w:rPr>
          <w:rFonts w:hint="eastAsia"/>
        </w:rPr>
        <w:t>支持对接住院电子病历表单，根据医院实际应用业务需求，针对有移动录入需求的表单进行定制，实现移动端脱纸化录入，减少护士事后转抄的工作量，提高工作效率。支持表单的新建、修改、保存操作，数据与住院电子病历系统实时互通。</w:t>
      </w:r>
      <w:r>
        <w:t xml:space="preserve">    </w:t>
      </w:r>
      <w:r>
        <w:rPr>
          <w:rFonts w:hint="eastAsia"/>
        </w:rPr>
        <w:t xml:space="preserve"> </w:t>
      </w:r>
      <w:r>
        <w:t xml:space="preserve"> </w:t>
      </w:r>
    </w:p>
    <w:p w14:paraId="2D082989">
      <w:pPr>
        <w:pStyle w:val="6"/>
        <w:numPr>
          <w:ilvl w:val="3"/>
          <w:numId w:val="16"/>
        </w:numPr>
      </w:pPr>
      <w:bookmarkStart w:id="552" w:name="_Toc202539091"/>
      <w:bookmarkStart w:id="553" w:name="_Toc11715"/>
      <w:r>
        <w:rPr>
          <w:rFonts w:hint="eastAsia"/>
        </w:rPr>
        <w:t>检验管理</w:t>
      </w:r>
      <w:bookmarkEnd w:id="552"/>
      <w:bookmarkEnd w:id="553"/>
    </w:p>
    <w:p w14:paraId="5CAFFBDB">
      <w:pPr>
        <w:pStyle w:val="7"/>
        <w:numPr>
          <w:ilvl w:val="4"/>
          <w:numId w:val="16"/>
        </w:numPr>
      </w:pPr>
      <w:r>
        <w:rPr>
          <w:rFonts w:hint="eastAsia"/>
        </w:rPr>
        <w:t>采血登记</w:t>
      </w:r>
    </w:p>
    <w:p w14:paraId="001D9E12">
      <w:pPr>
        <w:pStyle w:val="3"/>
      </w:pPr>
      <w:r>
        <w:rPr>
          <w:rFonts w:hint="eastAsia"/>
        </w:rPr>
        <w:t xml:space="preserve">支持护士给病人采血时通过PDA扫描病人腕带与试管条码进行核对，核对病人身份以及病人要采血的项目信息，确认该试管是否是给该病人使用，避免因采错病人而发生医疗事故。同时记录执行护士、采样时间、采样项目等信息，便于后续数据追溯以及统计护士工作量。 </w:t>
      </w:r>
    </w:p>
    <w:p w14:paraId="49C853DD">
      <w:pPr>
        <w:pStyle w:val="7"/>
        <w:numPr>
          <w:ilvl w:val="4"/>
          <w:numId w:val="16"/>
        </w:numPr>
      </w:pPr>
      <w:r>
        <w:rPr>
          <w:rFonts w:hint="eastAsia"/>
        </w:rPr>
        <w:t>采样交接</w:t>
      </w:r>
    </w:p>
    <w:p w14:paraId="6D720BA8">
      <w:pPr>
        <w:pStyle w:val="3"/>
      </w:pPr>
      <w:r>
        <w:rPr>
          <w:rFonts w:hint="eastAsia"/>
        </w:rPr>
        <w:t>支持护士把标本采集之后，病区护士与护工进行采样交接功能，交接给护工时，扫描确认交接的试管，系统记录交接人、交接时间等信息，便于后续数据追溯以及统计护士工作量。当标本不符合要求，需要从列表中剔除不进行交接的时候，支持删除该条交接记录。</w:t>
      </w:r>
    </w:p>
    <w:p w14:paraId="33E4E4DB">
      <w:pPr>
        <w:pStyle w:val="7"/>
        <w:numPr>
          <w:ilvl w:val="4"/>
          <w:numId w:val="16"/>
        </w:numPr>
      </w:pPr>
      <w:r>
        <w:rPr>
          <w:rFonts w:hint="eastAsia"/>
        </w:rPr>
        <w:t>采样查询</w:t>
      </w:r>
    </w:p>
    <w:p w14:paraId="12D20006">
      <w:pPr>
        <w:pStyle w:val="3"/>
      </w:pPr>
      <w:r>
        <w:rPr>
          <w:rFonts w:hint="eastAsia"/>
        </w:rPr>
        <w:t>支持查询全科患者的采样信息，如采样项目、采样状态，方便护士统一查询、了解科室患者的采样情况。</w:t>
      </w:r>
    </w:p>
    <w:p w14:paraId="65677908">
      <w:pPr>
        <w:pStyle w:val="7"/>
        <w:numPr>
          <w:ilvl w:val="4"/>
          <w:numId w:val="16"/>
        </w:numPr>
      </w:pPr>
      <w:r>
        <w:rPr>
          <w:rFonts w:hint="eastAsia"/>
        </w:rPr>
        <w:t>检验报告查阅</w:t>
      </w:r>
    </w:p>
    <w:p w14:paraId="0AC4AED7">
      <w:pPr>
        <w:pStyle w:val="3"/>
      </w:pPr>
      <w:r>
        <w:rPr>
          <w:rFonts w:hint="eastAsia"/>
        </w:rPr>
        <w:t xml:space="preserve">支持查阅患者的检验报告，护士不用在电脑前，也可随时了解患者的检验报告结果。 </w:t>
      </w:r>
      <w:r>
        <w:t xml:space="preserve">  </w:t>
      </w:r>
    </w:p>
    <w:p w14:paraId="17EAF8F6">
      <w:pPr>
        <w:pStyle w:val="6"/>
        <w:numPr>
          <w:ilvl w:val="3"/>
          <w:numId w:val="16"/>
        </w:numPr>
      </w:pPr>
      <w:bookmarkStart w:id="554" w:name="_Toc202539092"/>
      <w:bookmarkStart w:id="555" w:name="_Toc11978"/>
      <w:r>
        <w:rPr>
          <w:rFonts w:hint="eastAsia"/>
        </w:rPr>
        <w:t>输血管理</w:t>
      </w:r>
      <w:bookmarkEnd w:id="554"/>
      <w:bookmarkEnd w:id="555"/>
    </w:p>
    <w:p w14:paraId="3C1406EC">
      <w:pPr>
        <w:pStyle w:val="3"/>
      </w:pPr>
      <w:r>
        <w:rPr>
          <w:rFonts w:hint="eastAsia"/>
        </w:rPr>
        <w:t>支持血袋执行全过程记录，可供后续的工作量统计及查询功能。通过扫描血袋号和工牌号可完成相关操作。本操作必须按步骤完成，不可跳跃执行。包括以下功能：血袋接收、输血执行、输血执行强化、输血巡视、输血结束、输血过程插入护理记录、血袋回收。</w:t>
      </w:r>
    </w:p>
    <w:p w14:paraId="23F0FA6F">
      <w:pPr>
        <w:pStyle w:val="6"/>
        <w:numPr>
          <w:ilvl w:val="3"/>
          <w:numId w:val="16"/>
        </w:numPr>
      </w:pPr>
      <w:bookmarkStart w:id="556" w:name="_Toc202539093"/>
      <w:bookmarkStart w:id="557" w:name="_Toc13952"/>
      <w:r>
        <w:rPr>
          <w:rFonts w:hint="eastAsia"/>
        </w:rPr>
        <w:t>质控提醒</w:t>
      </w:r>
      <w:bookmarkEnd w:id="556"/>
      <w:bookmarkEnd w:id="557"/>
    </w:p>
    <w:p w14:paraId="756A4146">
      <w:pPr>
        <w:pStyle w:val="7"/>
        <w:numPr>
          <w:ilvl w:val="4"/>
          <w:numId w:val="16"/>
        </w:numPr>
      </w:pPr>
      <w:r>
        <w:rPr>
          <w:rFonts w:hint="eastAsia"/>
        </w:rPr>
        <w:t>静配药品接收提醒</w:t>
      </w:r>
    </w:p>
    <w:p w14:paraId="3058D8D7">
      <w:pPr>
        <w:pStyle w:val="3"/>
      </w:pPr>
      <w:r>
        <w:rPr>
          <w:rFonts w:hint="eastAsia"/>
        </w:rPr>
        <w:t xml:space="preserve">支持对接静配系统，通过扫描外箱条码或药品二维码信息，实现对整个药箱的药品接收或单个药品接收，预防药品接收过程的遗漏问题。支持根据批次查询接收的药品信息。 </w:t>
      </w:r>
      <w:r>
        <w:t xml:space="preserve">     </w:t>
      </w:r>
    </w:p>
    <w:p w14:paraId="3E1498F0">
      <w:pPr>
        <w:pStyle w:val="7"/>
        <w:numPr>
          <w:ilvl w:val="4"/>
          <w:numId w:val="16"/>
        </w:numPr>
      </w:pPr>
      <w:r>
        <w:rPr>
          <w:rFonts w:hint="eastAsia"/>
        </w:rPr>
        <w:t>药品有效期提醒</w:t>
      </w:r>
    </w:p>
    <w:p w14:paraId="603C41D8">
      <w:pPr>
        <w:pStyle w:val="3"/>
      </w:pPr>
      <w:r>
        <w:rPr>
          <w:rFonts w:hint="eastAsia"/>
        </w:rPr>
        <w:t>支持对接静配系统，针对静配中心配置的液体，若有有效期限制，当药品已过期，则在扫描瓶签时，弹出药品过期提示界面，并指导下一步处理工作。</w:t>
      </w:r>
    </w:p>
    <w:p w14:paraId="7C1B7946">
      <w:pPr>
        <w:pStyle w:val="7"/>
        <w:numPr>
          <w:ilvl w:val="4"/>
          <w:numId w:val="16"/>
        </w:numPr>
      </w:pPr>
      <w:r>
        <w:rPr>
          <w:rFonts w:hint="eastAsia"/>
        </w:rPr>
        <w:t>用药非当天提醒</w:t>
      </w:r>
    </w:p>
    <w:p w14:paraId="13B8721C">
      <w:pPr>
        <w:pStyle w:val="3"/>
      </w:pPr>
      <w:r>
        <w:rPr>
          <w:rFonts w:hint="eastAsia"/>
        </w:rPr>
        <w:t>支持若药品用药时间非当天，则扫描药品瓶签后，弹出药品用药时间非当天提示界面，并指导下一步处理工作。</w:t>
      </w:r>
    </w:p>
    <w:p w14:paraId="32A504A4">
      <w:pPr>
        <w:pStyle w:val="7"/>
        <w:numPr>
          <w:ilvl w:val="4"/>
          <w:numId w:val="16"/>
        </w:numPr>
      </w:pPr>
      <w:r>
        <w:rPr>
          <w:rFonts w:hint="eastAsia"/>
        </w:rPr>
        <w:t>高危药品提醒</w:t>
      </w:r>
    </w:p>
    <w:p w14:paraId="71E8D575">
      <w:pPr>
        <w:pStyle w:val="3"/>
      </w:pPr>
      <w:r>
        <w:rPr>
          <w:rFonts w:hint="eastAsia"/>
        </w:rPr>
        <w:t>支持输液执行时，若护理人员执行的药品包含高危药品，系统支持智能提醒，弹出护士所执行的药品包含高危药品提示界面，提醒护士注意控制滴数保护血管。</w:t>
      </w:r>
    </w:p>
    <w:p w14:paraId="51C9BBDF">
      <w:pPr>
        <w:pStyle w:val="7"/>
        <w:numPr>
          <w:ilvl w:val="4"/>
          <w:numId w:val="16"/>
        </w:numPr>
      </w:pPr>
      <w:r>
        <w:rPr>
          <w:rFonts w:hint="eastAsia"/>
        </w:rPr>
        <w:t>皮试提醒</w:t>
      </w:r>
    </w:p>
    <w:p w14:paraId="1534BA5A">
      <w:pPr>
        <w:pStyle w:val="3"/>
      </w:pPr>
      <w:r>
        <w:rPr>
          <w:rFonts w:hint="eastAsia"/>
        </w:rPr>
        <w:t xml:space="preserve">支持用药执行时，如果当前药品需要皮试但患者未登记皮试结果，在输液前提示护士进行皮试；若患者皮试结果为阳性，则系统提示患者皮试结果呈【阳性】，请谨慎用药。 </w:t>
      </w:r>
      <w:r>
        <w:t xml:space="preserve">  </w:t>
      </w:r>
    </w:p>
    <w:p w14:paraId="50336360">
      <w:pPr>
        <w:pStyle w:val="7"/>
        <w:numPr>
          <w:ilvl w:val="4"/>
          <w:numId w:val="16"/>
        </w:numPr>
      </w:pPr>
      <w:r>
        <w:rPr>
          <w:rFonts w:hint="eastAsia"/>
        </w:rPr>
        <w:t>消息提醒</w:t>
      </w:r>
    </w:p>
    <w:p w14:paraId="22DA3E5E">
      <w:pPr>
        <w:pStyle w:val="3"/>
      </w:pPr>
      <w:r>
        <w:rPr>
          <w:rFonts w:hint="eastAsia"/>
        </w:rPr>
        <w:t xml:space="preserve">支持根据消息提醒的接口规范，与HIS、EMR等相关系统进行对接改造，实现包含医嘱变更、体温异常、文书等消息提醒查询。 </w:t>
      </w:r>
      <w:r>
        <w:t xml:space="preserve">  </w:t>
      </w:r>
    </w:p>
    <w:p w14:paraId="0A3CC51F">
      <w:pPr>
        <w:pStyle w:val="7"/>
        <w:numPr>
          <w:ilvl w:val="4"/>
          <w:numId w:val="16"/>
        </w:numPr>
      </w:pPr>
      <w:r>
        <w:rPr>
          <w:rFonts w:hint="eastAsia"/>
        </w:rPr>
        <w:t>危急值提醒</w:t>
      </w:r>
    </w:p>
    <w:p w14:paraId="32B942DD">
      <w:pPr>
        <w:pStyle w:val="3"/>
      </w:pPr>
      <w:r>
        <w:rPr>
          <w:rFonts w:hint="eastAsia"/>
        </w:rPr>
        <w:t>支持对接检验系统，当患者检验结果出现危急值时，会推送消息到PDA界面，弹出提示框，提醒护士通知医生并且进行相应护理措施处理。</w:t>
      </w:r>
      <w:bookmarkEnd w:id="7"/>
      <w:bookmarkEnd w:id="533"/>
    </w:p>
    <w:p w14:paraId="479905C0">
      <w:pPr>
        <w:pStyle w:val="5"/>
        <w:numPr>
          <w:ilvl w:val="2"/>
          <w:numId w:val="16"/>
        </w:numPr>
        <w:rPr>
          <w:rFonts w:asciiTheme="minorEastAsia" w:hAnsiTheme="minorEastAsia" w:eastAsiaTheme="minorEastAsia"/>
        </w:rPr>
      </w:pPr>
      <w:r>
        <w:rPr>
          <w:rFonts w:hint="eastAsia" w:asciiTheme="minorEastAsia" w:hAnsiTheme="minorEastAsia" w:eastAsiaTheme="minorEastAsia"/>
        </w:rPr>
        <w:t>医保DIP系统</w:t>
      </w:r>
    </w:p>
    <w:p w14:paraId="5B01F57A">
      <w:pPr>
        <w:pStyle w:val="6"/>
        <w:numPr>
          <w:ilvl w:val="3"/>
          <w:numId w:val="16"/>
        </w:numPr>
        <w:rPr>
          <w:rFonts w:asciiTheme="minorEastAsia" w:hAnsiTheme="minorEastAsia" w:eastAsiaTheme="minorEastAsia"/>
          <w:sz w:val="32"/>
          <w:szCs w:val="32"/>
        </w:rPr>
      </w:pPr>
      <w:r>
        <w:rPr>
          <w:rFonts w:asciiTheme="minorEastAsia" w:hAnsiTheme="minorEastAsia" w:eastAsiaTheme="minorEastAsia"/>
          <w:sz w:val="32"/>
          <w:szCs w:val="32"/>
        </w:rPr>
        <w:t>系统管理平台</w:t>
      </w:r>
    </w:p>
    <w:p w14:paraId="5F7B1AD6">
      <w:pPr>
        <w:ind w:firstLine="480"/>
        <w:rPr>
          <w:rStyle w:val="48"/>
          <w:rFonts w:asciiTheme="minorEastAsia" w:hAnsiTheme="minorEastAsia" w:eastAsiaTheme="minorEastAsia"/>
        </w:rPr>
      </w:pPr>
      <w:r>
        <w:rPr>
          <w:rFonts w:hint="eastAsia"/>
        </w:rPr>
        <w:t>支持</w:t>
      </w:r>
      <w:r>
        <w:rPr>
          <w:rFonts w:hint="eastAsia" w:asciiTheme="minorEastAsia" w:hAnsiTheme="minorEastAsia" w:eastAsiaTheme="minorEastAsia"/>
          <w:szCs w:val="28"/>
        </w:rPr>
        <w:t>系统要求实现高可配置化，以满足后续可能变化的需求，同时减少对其他业务系统的改造成本。可配置项病案首页版本、疾病诊断和手术</w:t>
      </w:r>
      <w:r>
        <w:rPr>
          <w:rFonts w:asciiTheme="minorEastAsia" w:hAnsiTheme="minorEastAsia" w:eastAsiaTheme="minorEastAsia"/>
          <w:szCs w:val="28"/>
        </w:rPr>
        <w:t>/操作 ICD 编码版本、统计年度起止月份、接口信息等。</w:t>
      </w:r>
      <w:r>
        <w:rPr>
          <w:rFonts w:hint="eastAsia" w:asciiTheme="minorEastAsia" w:hAnsiTheme="minorEastAsia" w:eastAsiaTheme="minorEastAsia"/>
          <w:szCs w:val="28"/>
        </w:rPr>
        <w:t>要求包括</w:t>
      </w:r>
      <w:r>
        <w:rPr>
          <w:rStyle w:val="48"/>
          <w:rFonts w:asciiTheme="minorEastAsia" w:hAnsiTheme="minorEastAsia" w:eastAsiaTheme="minorEastAsia"/>
        </w:rPr>
        <w:t>角色管理</w:t>
      </w:r>
      <w:r>
        <w:rPr>
          <w:rStyle w:val="48"/>
          <w:rFonts w:hint="eastAsia" w:asciiTheme="minorEastAsia" w:hAnsiTheme="minorEastAsia" w:eastAsiaTheme="minorEastAsia"/>
        </w:rPr>
        <w:t>、</w:t>
      </w:r>
      <w:r>
        <w:rPr>
          <w:rStyle w:val="48"/>
          <w:rFonts w:asciiTheme="minorEastAsia" w:hAnsiTheme="minorEastAsia" w:eastAsiaTheme="minorEastAsia"/>
        </w:rPr>
        <w:t>用户管理</w:t>
      </w:r>
      <w:r>
        <w:rPr>
          <w:rStyle w:val="48"/>
          <w:rFonts w:hint="eastAsia" w:asciiTheme="minorEastAsia" w:hAnsiTheme="minorEastAsia" w:eastAsiaTheme="minorEastAsia"/>
        </w:rPr>
        <w:t>、</w:t>
      </w:r>
      <w:r>
        <w:rPr>
          <w:rStyle w:val="48"/>
          <w:rFonts w:asciiTheme="minorEastAsia" w:hAnsiTheme="minorEastAsia" w:eastAsiaTheme="minorEastAsia"/>
        </w:rPr>
        <w:t>织机构信息管理</w:t>
      </w:r>
      <w:r>
        <w:rPr>
          <w:rStyle w:val="48"/>
          <w:rFonts w:hint="eastAsia" w:asciiTheme="minorEastAsia" w:hAnsiTheme="minorEastAsia" w:eastAsiaTheme="minorEastAsia"/>
        </w:rPr>
        <w:t>、</w:t>
      </w:r>
      <w:r>
        <w:rPr>
          <w:rStyle w:val="48"/>
          <w:rFonts w:asciiTheme="minorEastAsia" w:hAnsiTheme="minorEastAsia" w:eastAsiaTheme="minorEastAsia"/>
        </w:rPr>
        <w:t>权限管理</w:t>
      </w:r>
      <w:r>
        <w:rPr>
          <w:rStyle w:val="48"/>
          <w:rFonts w:hint="eastAsia" w:asciiTheme="minorEastAsia" w:hAnsiTheme="minorEastAsia" w:eastAsiaTheme="minorEastAsia"/>
        </w:rPr>
        <w:t>、</w:t>
      </w:r>
      <w:r>
        <w:rPr>
          <w:rStyle w:val="48"/>
          <w:rFonts w:asciiTheme="minorEastAsia" w:hAnsiTheme="minorEastAsia" w:eastAsiaTheme="minorEastAsia"/>
        </w:rPr>
        <w:t>日志服务</w:t>
      </w:r>
    </w:p>
    <w:p w14:paraId="535A7DE6">
      <w:pPr>
        <w:pStyle w:val="6"/>
        <w:numPr>
          <w:ilvl w:val="3"/>
          <w:numId w:val="16"/>
        </w:numPr>
        <w:rPr>
          <w:rFonts w:asciiTheme="minorEastAsia" w:hAnsiTheme="minorEastAsia" w:eastAsiaTheme="minorEastAsia"/>
          <w:sz w:val="32"/>
          <w:szCs w:val="32"/>
        </w:rPr>
      </w:pPr>
      <w:r>
        <w:rPr>
          <w:rFonts w:hint="eastAsia" w:asciiTheme="minorEastAsia" w:hAnsiTheme="minorEastAsia" w:eastAsiaTheme="minorEastAsia"/>
          <w:sz w:val="32"/>
          <w:szCs w:val="32"/>
        </w:rPr>
        <w:t>数据管理</w:t>
      </w:r>
    </w:p>
    <w:p w14:paraId="3D86C136">
      <w:pPr>
        <w:pStyle w:val="70"/>
        <w:ind w:left="425" w:firstLine="0" w:firstLineChars="0"/>
        <w:rPr>
          <w:rStyle w:val="48"/>
          <w:rFonts w:asciiTheme="minorEastAsia" w:hAnsiTheme="minorEastAsia" w:eastAsiaTheme="minorEastAsia"/>
          <w:bCs/>
        </w:rPr>
      </w:pPr>
      <w:r>
        <w:rPr>
          <w:rStyle w:val="48"/>
          <w:rFonts w:asciiTheme="minorEastAsia" w:hAnsiTheme="minorEastAsia" w:eastAsiaTheme="minorEastAsia"/>
        </w:rPr>
        <w:t>病案首页数据采集</w:t>
      </w:r>
    </w:p>
    <w:p w14:paraId="01C88530">
      <w:pPr>
        <w:ind w:firstLine="480"/>
        <w:rPr>
          <w:rFonts w:asciiTheme="minorEastAsia" w:hAnsiTheme="minorEastAsia" w:eastAsiaTheme="minorEastAsia"/>
          <w:szCs w:val="24"/>
        </w:rPr>
      </w:pPr>
      <w:r>
        <w:rPr>
          <w:rFonts w:hint="eastAsia"/>
        </w:rPr>
        <w:t>支持</w:t>
      </w:r>
      <w:r>
        <w:rPr>
          <w:rFonts w:asciiTheme="minorEastAsia" w:hAnsiTheme="minorEastAsia" w:eastAsiaTheme="minorEastAsia"/>
          <w:szCs w:val="24"/>
        </w:rPr>
        <w:t xml:space="preserve">病案首页数据自动采集、数据清洗和 </w:t>
      </w:r>
      <w:r>
        <w:rPr>
          <w:rFonts w:hint="eastAsia" w:asciiTheme="minorEastAsia" w:hAnsiTheme="minorEastAsia" w:eastAsiaTheme="minorEastAsia"/>
          <w:szCs w:val="24"/>
        </w:rPr>
        <w:t>DIP</w:t>
      </w:r>
      <w:r>
        <w:rPr>
          <w:rFonts w:asciiTheme="minorEastAsia" w:hAnsiTheme="minorEastAsia" w:eastAsiaTheme="minorEastAsia"/>
          <w:szCs w:val="24"/>
        </w:rPr>
        <w:t xml:space="preserve"> 分组的功能，即要求系统通过电子病历系统或病案编目系统提供的接口自动抽取病案首页数据，针对不规范、不标准的数据进行清洗，采用</w:t>
      </w:r>
      <w:r>
        <w:rPr>
          <w:rFonts w:hint="eastAsia" w:asciiTheme="minorEastAsia" w:hAnsiTheme="minorEastAsia" w:eastAsiaTheme="minorEastAsia"/>
          <w:szCs w:val="24"/>
        </w:rPr>
        <w:t>国家医保局DIP</w:t>
      </w:r>
      <w:r>
        <w:rPr>
          <w:rFonts w:asciiTheme="minorEastAsia" w:hAnsiTheme="minorEastAsia" w:eastAsiaTheme="minorEastAsia"/>
          <w:szCs w:val="24"/>
        </w:rPr>
        <w:t xml:space="preserve">分组器对抽取的病案首页数据进行 </w:t>
      </w:r>
      <w:r>
        <w:rPr>
          <w:rFonts w:hint="eastAsia" w:asciiTheme="minorEastAsia" w:hAnsiTheme="minorEastAsia" w:eastAsiaTheme="minorEastAsia"/>
          <w:szCs w:val="24"/>
        </w:rPr>
        <w:t>DIP</w:t>
      </w:r>
      <w:r>
        <w:rPr>
          <w:rFonts w:asciiTheme="minorEastAsia" w:hAnsiTheme="minorEastAsia" w:eastAsiaTheme="minorEastAsia"/>
          <w:szCs w:val="24"/>
        </w:rPr>
        <w:t xml:space="preserve"> 分组，反馈每份出院病例 </w:t>
      </w:r>
      <w:r>
        <w:rPr>
          <w:rFonts w:hint="eastAsia" w:asciiTheme="minorEastAsia" w:hAnsiTheme="minorEastAsia" w:eastAsiaTheme="minorEastAsia"/>
          <w:szCs w:val="24"/>
        </w:rPr>
        <w:t>DIP</w:t>
      </w:r>
      <w:r>
        <w:rPr>
          <w:rFonts w:asciiTheme="minorEastAsia" w:hAnsiTheme="minorEastAsia" w:eastAsiaTheme="minorEastAsia"/>
          <w:szCs w:val="24"/>
        </w:rPr>
        <w:t xml:space="preserve"> 分组结果。</w:t>
      </w:r>
    </w:p>
    <w:p w14:paraId="70021CFE">
      <w:pPr>
        <w:pStyle w:val="70"/>
        <w:numPr>
          <w:ilvl w:val="0"/>
          <w:numId w:val="51"/>
        </w:numPr>
        <w:spacing w:line="240" w:lineRule="auto"/>
        <w:ind w:firstLineChars="0"/>
        <w:rPr>
          <w:rStyle w:val="48"/>
          <w:rFonts w:asciiTheme="minorEastAsia" w:hAnsiTheme="minorEastAsia" w:eastAsiaTheme="minorEastAsia"/>
          <w:vanish/>
        </w:rPr>
      </w:pPr>
    </w:p>
    <w:p w14:paraId="4BB2C3C7">
      <w:pPr>
        <w:pStyle w:val="70"/>
        <w:numPr>
          <w:ilvl w:val="1"/>
          <w:numId w:val="51"/>
        </w:numPr>
        <w:spacing w:line="240" w:lineRule="auto"/>
        <w:ind w:firstLineChars="0"/>
        <w:rPr>
          <w:rStyle w:val="48"/>
          <w:rFonts w:asciiTheme="minorEastAsia" w:hAnsiTheme="minorEastAsia" w:eastAsiaTheme="minorEastAsia"/>
          <w:vanish/>
        </w:rPr>
      </w:pPr>
    </w:p>
    <w:p w14:paraId="66BDA0DB">
      <w:pPr>
        <w:pStyle w:val="70"/>
        <w:ind w:left="425" w:firstLine="0" w:firstLineChars="0"/>
        <w:rPr>
          <w:rStyle w:val="48"/>
          <w:rFonts w:asciiTheme="minorEastAsia" w:hAnsiTheme="minorEastAsia" w:eastAsiaTheme="minorEastAsia"/>
          <w:bCs/>
        </w:rPr>
      </w:pPr>
      <w:r>
        <w:rPr>
          <w:rStyle w:val="48"/>
          <w:rFonts w:hint="eastAsia" w:asciiTheme="minorEastAsia" w:hAnsiTheme="minorEastAsia" w:eastAsiaTheme="minorEastAsia"/>
        </w:rPr>
        <w:t>病案</w:t>
      </w:r>
      <w:r>
        <w:rPr>
          <w:rStyle w:val="48"/>
          <w:rFonts w:asciiTheme="minorEastAsia" w:hAnsiTheme="minorEastAsia" w:eastAsiaTheme="minorEastAsia"/>
        </w:rPr>
        <w:t>首页数据质控</w:t>
      </w:r>
    </w:p>
    <w:p w14:paraId="425088C1">
      <w:pPr>
        <w:ind w:firstLine="480"/>
        <w:rPr>
          <w:rFonts w:asciiTheme="minorEastAsia" w:hAnsiTheme="minorEastAsia" w:eastAsiaTheme="minorEastAsia"/>
          <w:szCs w:val="24"/>
        </w:rPr>
      </w:pPr>
      <w:r>
        <w:rPr>
          <w:rFonts w:hint="eastAsia"/>
        </w:rPr>
        <w:t>支持</w:t>
      </w:r>
      <w:r>
        <w:rPr>
          <w:rFonts w:asciiTheme="minorEastAsia" w:hAnsiTheme="minorEastAsia" w:eastAsiaTheme="minorEastAsia"/>
          <w:szCs w:val="24"/>
        </w:rPr>
        <w:t>要求系统对采集到的病案首页数据根据质控规则进行质控和评分，其中系统支持患者出院后临床医生填写的临床版、经过病案室编目后编目版案首页数据质控。</w:t>
      </w:r>
    </w:p>
    <w:p w14:paraId="2C61F228">
      <w:pPr>
        <w:pStyle w:val="70"/>
        <w:ind w:firstLine="0" w:firstLineChars="0"/>
        <w:rPr>
          <w:rStyle w:val="48"/>
          <w:rFonts w:asciiTheme="minorEastAsia" w:hAnsiTheme="minorEastAsia" w:eastAsiaTheme="minorEastAsia"/>
          <w:b w:val="0"/>
          <w:bCs/>
        </w:rPr>
      </w:pPr>
      <w:r>
        <w:rPr>
          <w:rStyle w:val="48"/>
          <w:rFonts w:hint="eastAsia" w:asciiTheme="minorEastAsia" w:hAnsiTheme="minorEastAsia" w:eastAsiaTheme="minorEastAsia"/>
          <w:b w:val="0"/>
          <w:bCs/>
        </w:rPr>
        <w:t>病案全流程质控、全院质控、科室质控、病区质控、医师质控、个案质控、质控规则维护</w:t>
      </w:r>
    </w:p>
    <w:p w14:paraId="1A64D641">
      <w:pPr>
        <w:pStyle w:val="70"/>
        <w:ind w:left="425" w:firstLine="0" w:firstLineChars="0"/>
        <w:rPr>
          <w:rStyle w:val="48"/>
          <w:rFonts w:asciiTheme="minorEastAsia" w:hAnsiTheme="minorEastAsia" w:eastAsiaTheme="minorEastAsia"/>
        </w:rPr>
      </w:pPr>
      <w:r>
        <w:rPr>
          <w:rStyle w:val="48"/>
          <w:rFonts w:hint="eastAsia" w:asciiTheme="minorEastAsia" w:hAnsiTheme="minorEastAsia" w:eastAsiaTheme="minorEastAsia"/>
        </w:rPr>
        <w:t>临床业务数据采集</w:t>
      </w:r>
    </w:p>
    <w:p w14:paraId="52113EAE">
      <w:pPr>
        <w:ind w:firstLine="480"/>
        <w:rPr>
          <w:rFonts w:asciiTheme="minorEastAsia" w:hAnsiTheme="minorEastAsia" w:eastAsiaTheme="minorEastAsia"/>
          <w:szCs w:val="28"/>
        </w:rPr>
      </w:pPr>
      <w:r>
        <w:rPr>
          <w:rFonts w:hint="eastAsia"/>
        </w:rPr>
        <w:t>支持</w:t>
      </w:r>
      <w:r>
        <w:rPr>
          <w:rFonts w:hint="eastAsia" w:asciiTheme="minorEastAsia" w:hAnsiTheme="minorEastAsia" w:eastAsiaTheme="minorEastAsia"/>
          <w:szCs w:val="24"/>
        </w:rPr>
        <w:t>要求系统对相关临床业务数据进行自动采集。</w:t>
      </w:r>
    </w:p>
    <w:p w14:paraId="480815F6">
      <w:pPr>
        <w:pStyle w:val="6"/>
        <w:numPr>
          <w:ilvl w:val="3"/>
          <w:numId w:val="16"/>
        </w:numPr>
        <w:rPr>
          <w:rFonts w:asciiTheme="minorEastAsia" w:hAnsiTheme="minorEastAsia" w:eastAsiaTheme="minorEastAsia"/>
          <w:sz w:val="32"/>
          <w:szCs w:val="32"/>
        </w:rPr>
      </w:pPr>
      <w:r>
        <w:rPr>
          <w:rFonts w:hint="eastAsia" w:asciiTheme="minorEastAsia" w:hAnsiTheme="minorEastAsia" w:eastAsiaTheme="minorEastAsia"/>
          <w:sz w:val="32"/>
          <w:szCs w:val="32"/>
        </w:rPr>
        <w:t>医保结算清单管理</w:t>
      </w:r>
    </w:p>
    <w:p w14:paraId="59872D5E">
      <w:pPr>
        <w:pStyle w:val="70"/>
        <w:numPr>
          <w:ilvl w:val="0"/>
          <w:numId w:val="52"/>
        </w:numPr>
        <w:spacing w:line="240" w:lineRule="auto"/>
        <w:ind w:firstLineChars="0"/>
        <w:rPr>
          <w:rStyle w:val="48"/>
          <w:rFonts w:asciiTheme="minorEastAsia" w:hAnsiTheme="minorEastAsia" w:eastAsiaTheme="minorEastAsia"/>
          <w:vanish/>
          <w:sz w:val="28"/>
          <w:szCs w:val="32"/>
        </w:rPr>
      </w:pPr>
    </w:p>
    <w:p w14:paraId="7850F8B9">
      <w:pPr>
        <w:pStyle w:val="70"/>
        <w:numPr>
          <w:ilvl w:val="0"/>
          <w:numId w:val="52"/>
        </w:numPr>
        <w:spacing w:line="240" w:lineRule="auto"/>
        <w:ind w:firstLineChars="0"/>
        <w:rPr>
          <w:rStyle w:val="48"/>
          <w:rFonts w:asciiTheme="minorEastAsia" w:hAnsiTheme="minorEastAsia" w:eastAsiaTheme="minorEastAsia"/>
          <w:vanish/>
          <w:sz w:val="28"/>
          <w:szCs w:val="32"/>
        </w:rPr>
      </w:pPr>
    </w:p>
    <w:p w14:paraId="68F50B53">
      <w:pPr>
        <w:pStyle w:val="70"/>
        <w:ind w:left="425" w:firstLine="0" w:firstLineChars="0"/>
        <w:rPr>
          <w:rStyle w:val="48"/>
          <w:rFonts w:asciiTheme="minorEastAsia" w:hAnsiTheme="minorEastAsia" w:eastAsiaTheme="minorEastAsia"/>
        </w:rPr>
      </w:pPr>
      <w:r>
        <w:rPr>
          <w:rStyle w:val="48"/>
          <w:rFonts w:hint="eastAsia" w:asciiTheme="minorEastAsia" w:hAnsiTheme="minorEastAsia" w:eastAsiaTheme="minorEastAsia"/>
        </w:rPr>
        <w:t>医保结算清单数据采集</w:t>
      </w:r>
    </w:p>
    <w:p w14:paraId="1B8C2014">
      <w:pPr>
        <w:ind w:firstLine="480"/>
        <w:rPr>
          <w:rFonts w:asciiTheme="minorEastAsia" w:hAnsiTheme="minorEastAsia" w:eastAsiaTheme="minorEastAsia"/>
          <w:szCs w:val="28"/>
        </w:rPr>
      </w:pPr>
      <w:r>
        <w:rPr>
          <w:rFonts w:hint="eastAsia"/>
        </w:rPr>
        <w:t>支持</w:t>
      </w:r>
      <w:r>
        <w:rPr>
          <w:rFonts w:asciiTheme="minorEastAsia" w:hAnsiTheme="minorEastAsia" w:eastAsiaTheme="minorEastAsia"/>
          <w:szCs w:val="24"/>
        </w:rPr>
        <w:t>按照规范</w:t>
      </w:r>
      <w:r>
        <w:rPr>
          <w:rFonts w:hint="eastAsia" w:asciiTheme="minorEastAsia" w:hAnsiTheme="minorEastAsia" w:eastAsiaTheme="minorEastAsia"/>
          <w:szCs w:val="24"/>
        </w:rPr>
        <w:t>要求对</w:t>
      </w:r>
      <w:r>
        <w:rPr>
          <w:rFonts w:asciiTheme="minorEastAsia" w:hAnsiTheme="minorEastAsia" w:eastAsiaTheme="minorEastAsia"/>
          <w:szCs w:val="24"/>
        </w:rPr>
        <w:t>医保结算清单数据指标</w:t>
      </w:r>
      <w:r>
        <w:rPr>
          <w:rFonts w:hint="eastAsia" w:asciiTheme="minorEastAsia" w:hAnsiTheme="minorEastAsia" w:eastAsiaTheme="minorEastAsia"/>
          <w:szCs w:val="24"/>
        </w:rPr>
        <w:t>进行自动采集提取</w:t>
      </w:r>
      <w:r>
        <w:rPr>
          <w:rFonts w:asciiTheme="minorEastAsia" w:hAnsiTheme="minorEastAsia" w:eastAsiaTheme="minorEastAsia"/>
          <w:szCs w:val="24"/>
        </w:rPr>
        <w:t>。用于定点医疗机构和患者的身份识别，包括清单流水号、定点医疗机构名称、定点医疗机构代码、医保结算等级、医保类型等；门诊慢特病诊疗信息数据指标主要反映门诊慢特病患者的实际诊疗过程。住院诊疗信息数据指标主要反映患者入院、诊断、治疗、出院等全诊疗过程的信息，包括住院医疗类型、入院途径、治疗类别等。</w:t>
      </w:r>
    </w:p>
    <w:p w14:paraId="3931A091">
      <w:pPr>
        <w:pStyle w:val="6"/>
        <w:numPr>
          <w:ilvl w:val="3"/>
          <w:numId w:val="16"/>
        </w:numPr>
        <w:rPr>
          <w:rFonts w:asciiTheme="minorEastAsia" w:hAnsiTheme="minorEastAsia" w:eastAsiaTheme="minorEastAsia"/>
          <w:sz w:val="32"/>
          <w:szCs w:val="32"/>
        </w:rPr>
      </w:pPr>
      <w:r>
        <w:rPr>
          <w:rFonts w:hint="eastAsia" w:asciiTheme="minorEastAsia" w:hAnsiTheme="minorEastAsia" w:eastAsiaTheme="minorEastAsia"/>
          <w:sz w:val="32"/>
          <w:szCs w:val="32"/>
        </w:rPr>
        <w:t>DIP分组服务</w:t>
      </w:r>
    </w:p>
    <w:p w14:paraId="58708313">
      <w:pPr>
        <w:pStyle w:val="70"/>
        <w:ind w:left="425" w:firstLine="0" w:firstLineChars="0"/>
        <w:rPr>
          <w:rStyle w:val="48"/>
          <w:rFonts w:asciiTheme="minorEastAsia" w:hAnsiTheme="minorEastAsia" w:eastAsiaTheme="minorEastAsia"/>
        </w:rPr>
      </w:pPr>
      <w:r>
        <w:rPr>
          <w:rStyle w:val="48"/>
          <w:rFonts w:hint="eastAsia" w:asciiTheme="minorEastAsia" w:hAnsiTheme="minorEastAsia" w:eastAsiaTheme="minorEastAsia"/>
        </w:rPr>
        <w:t>DIP预分组管理</w:t>
      </w:r>
    </w:p>
    <w:p w14:paraId="3CDDC7D3">
      <w:pPr>
        <w:ind w:firstLine="480"/>
        <w:rPr>
          <w:rFonts w:asciiTheme="minorEastAsia" w:hAnsiTheme="minorEastAsia" w:eastAsiaTheme="minorEastAsia"/>
          <w:szCs w:val="24"/>
        </w:rPr>
      </w:pPr>
      <w:r>
        <w:rPr>
          <w:rFonts w:hint="eastAsia"/>
        </w:rPr>
        <w:t>支持</w:t>
      </w:r>
      <w:r>
        <w:rPr>
          <w:rFonts w:hint="eastAsia" w:asciiTheme="minorEastAsia" w:hAnsiTheme="minorEastAsia" w:eastAsiaTheme="minorEastAsia"/>
          <w:szCs w:val="24"/>
        </w:rPr>
        <w:t>系统提供DIP预分组管理功能，可设置各项指标的标准值，预入组功能可嵌入事前或者事后等场景</w:t>
      </w:r>
      <w:r>
        <w:rPr>
          <w:rFonts w:asciiTheme="minorEastAsia" w:hAnsiTheme="minorEastAsia" w:eastAsiaTheme="minorEastAsia"/>
          <w:szCs w:val="24"/>
        </w:rPr>
        <w:t>。</w:t>
      </w:r>
    </w:p>
    <w:p w14:paraId="6CC15809">
      <w:pPr>
        <w:pStyle w:val="70"/>
        <w:ind w:left="240" w:firstLine="0" w:firstLineChars="0"/>
        <w:rPr>
          <w:rStyle w:val="48"/>
          <w:rFonts w:asciiTheme="minorEastAsia" w:hAnsiTheme="minorEastAsia" w:eastAsiaTheme="minorEastAsia"/>
        </w:rPr>
      </w:pPr>
      <w:r>
        <w:rPr>
          <w:rStyle w:val="48"/>
          <w:rFonts w:hint="eastAsia" w:asciiTheme="minorEastAsia" w:hAnsiTheme="minorEastAsia" w:eastAsiaTheme="minorEastAsia"/>
        </w:rPr>
        <w:t>DIP分组管理</w:t>
      </w:r>
    </w:p>
    <w:p w14:paraId="6CCA2984">
      <w:pPr>
        <w:ind w:firstLine="480"/>
        <w:rPr>
          <w:rFonts w:asciiTheme="minorEastAsia" w:hAnsiTheme="minorEastAsia" w:eastAsiaTheme="minorEastAsia"/>
          <w:szCs w:val="24"/>
        </w:rPr>
      </w:pPr>
      <w:r>
        <w:rPr>
          <w:rFonts w:hint="eastAsia"/>
        </w:rPr>
        <w:t>支持</w:t>
      </w:r>
      <w:r>
        <w:rPr>
          <w:rFonts w:hint="eastAsia" w:asciiTheme="minorEastAsia" w:hAnsiTheme="minorEastAsia" w:eastAsiaTheme="minorEastAsia"/>
          <w:szCs w:val="24"/>
        </w:rPr>
        <w:t>系统提供-DIP分组器相关查询功能，记录病案入组的整体过程，后期可提供查询服务。</w:t>
      </w:r>
    </w:p>
    <w:p w14:paraId="6D54DD1D">
      <w:pPr>
        <w:pStyle w:val="6"/>
        <w:numPr>
          <w:ilvl w:val="3"/>
          <w:numId w:val="16"/>
        </w:numPr>
        <w:rPr>
          <w:rFonts w:asciiTheme="minorEastAsia" w:hAnsiTheme="minorEastAsia" w:eastAsiaTheme="minorEastAsia"/>
          <w:sz w:val="32"/>
          <w:szCs w:val="32"/>
        </w:rPr>
      </w:pPr>
      <w:r>
        <w:rPr>
          <w:rFonts w:hint="eastAsia" w:asciiTheme="minorEastAsia" w:hAnsiTheme="minorEastAsia" w:eastAsiaTheme="minorEastAsia"/>
          <w:sz w:val="32"/>
          <w:szCs w:val="32"/>
        </w:rPr>
        <w:t>DIP审核监控系统</w:t>
      </w:r>
    </w:p>
    <w:p w14:paraId="515B4196">
      <w:pPr>
        <w:pStyle w:val="70"/>
        <w:ind w:left="240" w:firstLine="0" w:firstLineChars="0"/>
        <w:rPr>
          <w:rStyle w:val="48"/>
          <w:rFonts w:asciiTheme="minorEastAsia" w:hAnsiTheme="minorEastAsia" w:eastAsiaTheme="minorEastAsia"/>
        </w:rPr>
      </w:pPr>
      <w:r>
        <w:rPr>
          <w:rStyle w:val="48"/>
          <w:rFonts w:hint="eastAsia" w:asciiTheme="minorEastAsia" w:hAnsiTheme="minorEastAsia" w:eastAsiaTheme="minorEastAsia"/>
        </w:rPr>
        <w:t>预分组及最优分组推荐</w:t>
      </w:r>
    </w:p>
    <w:p w14:paraId="4C6CEE42">
      <w:pPr>
        <w:ind w:firstLine="480"/>
        <w:rPr>
          <w:rFonts w:asciiTheme="minorEastAsia" w:hAnsiTheme="minorEastAsia" w:eastAsiaTheme="minorEastAsia"/>
          <w:szCs w:val="24"/>
        </w:rPr>
      </w:pPr>
      <w:r>
        <w:rPr>
          <w:rFonts w:hint="eastAsia"/>
        </w:rPr>
        <w:t>支持</w:t>
      </w:r>
      <w:r>
        <w:rPr>
          <w:rFonts w:hint="eastAsia" w:asciiTheme="minorEastAsia" w:hAnsiTheme="minorEastAsia" w:eastAsiaTheme="minorEastAsia"/>
          <w:szCs w:val="24"/>
        </w:rPr>
        <w:t>在院病例智能分组概览，临床医生和管理者每天都能并查看各自负责的在院病例列表并提示各患者</w:t>
      </w:r>
      <w:r>
        <w:rPr>
          <w:rFonts w:asciiTheme="minorEastAsia" w:hAnsiTheme="minorEastAsia" w:eastAsiaTheme="minorEastAsia"/>
          <w:szCs w:val="24"/>
        </w:rPr>
        <w:t xml:space="preserve"> </w:t>
      </w:r>
      <w:r>
        <w:rPr>
          <w:rFonts w:hint="eastAsia" w:asciiTheme="minorEastAsia" w:hAnsiTheme="minorEastAsia" w:eastAsiaTheme="minorEastAsia"/>
          <w:szCs w:val="24"/>
        </w:rPr>
        <w:t>DIP</w:t>
      </w:r>
      <w:r>
        <w:rPr>
          <w:rFonts w:asciiTheme="minorEastAsia" w:hAnsiTheme="minorEastAsia" w:eastAsiaTheme="minorEastAsia"/>
          <w:szCs w:val="24"/>
        </w:rPr>
        <w:t xml:space="preserve"> 分组结果，各项指标的超标情况等。</w:t>
      </w:r>
    </w:p>
    <w:p w14:paraId="114EACCE">
      <w:pPr>
        <w:ind w:firstLine="480"/>
        <w:rPr>
          <w:rFonts w:asciiTheme="minorEastAsia" w:hAnsiTheme="minorEastAsia" w:eastAsiaTheme="minorEastAsia"/>
          <w:szCs w:val="24"/>
        </w:rPr>
      </w:pPr>
      <w:r>
        <w:rPr>
          <w:rFonts w:hint="eastAsia"/>
        </w:rPr>
        <w:t>支持</w:t>
      </w:r>
      <w:r>
        <w:rPr>
          <w:rFonts w:hint="eastAsia" w:asciiTheme="minorEastAsia" w:hAnsiTheme="minorEastAsia" w:eastAsiaTheme="minorEastAsia"/>
          <w:szCs w:val="24"/>
        </w:rPr>
        <w:t>系统可以根据已填写的内容以及从HIS中提取到信息智能提醒是否存在遗漏的编码，并整合信息后提醒最优的DIP</w:t>
      </w:r>
      <w:r>
        <w:rPr>
          <w:rFonts w:asciiTheme="minorEastAsia" w:hAnsiTheme="minorEastAsia" w:eastAsiaTheme="minorEastAsia"/>
          <w:szCs w:val="24"/>
        </w:rPr>
        <w:t xml:space="preserve"> 分组结果</w:t>
      </w:r>
      <w:r>
        <w:rPr>
          <w:rFonts w:hint="eastAsia" w:asciiTheme="minorEastAsia" w:hAnsiTheme="minorEastAsia" w:eastAsiaTheme="minorEastAsia"/>
          <w:szCs w:val="24"/>
        </w:rPr>
        <w:t>。</w:t>
      </w:r>
    </w:p>
    <w:p w14:paraId="6CBD4FA3">
      <w:pPr>
        <w:pStyle w:val="6"/>
        <w:numPr>
          <w:ilvl w:val="3"/>
          <w:numId w:val="16"/>
        </w:numPr>
        <w:rPr>
          <w:rFonts w:asciiTheme="minorEastAsia" w:hAnsiTheme="minorEastAsia" w:eastAsiaTheme="minorEastAsia"/>
          <w:sz w:val="32"/>
          <w:szCs w:val="32"/>
        </w:rPr>
      </w:pPr>
      <w:r>
        <w:rPr>
          <w:rFonts w:hint="eastAsia" w:asciiTheme="minorEastAsia" w:hAnsiTheme="minorEastAsia" w:eastAsiaTheme="minorEastAsia"/>
          <w:sz w:val="32"/>
          <w:szCs w:val="32"/>
        </w:rPr>
        <w:t>DIP医疗服务评价分析</w:t>
      </w:r>
    </w:p>
    <w:p w14:paraId="35C912E0">
      <w:pPr>
        <w:pStyle w:val="70"/>
        <w:ind w:left="240" w:firstLine="0" w:firstLineChars="0"/>
        <w:rPr>
          <w:rStyle w:val="48"/>
          <w:rFonts w:asciiTheme="minorEastAsia" w:hAnsiTheme="minorEastAsia" w:eastAsiaTheme="minorEastAsia"/>
        </w:rPr>
      </w:pPr>
      <w:r>
        <w:rPr>
          <w:rStyle w:val="48"/>
          <w:rFonts w:hint="eastAsia" w:asciiTheme="minorEastAsia" w:hAnsiTheme="minorEastAsia" w:eastAsiaTheme="minorEastAsia"/>
        </w:rPr>
        <w:t>DIP住院</w:t>
      </w:r>
      <w:r>
        <w:rPr>
          <w:rStyle w:val="48"/>
          <w:rFonts w:asciiTheme="minorEastAsia" w:hAnsiTheme="minorEastAsia" w:eastAsiaTheme="minorEastAsia"/>
        </w:rPr>
        <w:t>医疗质量监测绩效分析</w:t>
      </w:r>
    </w:p>
    <w:p w14:paraId="3BFB6F34">
      <w:pPr>
        <w:ind w:firstLine="480"/>
        <w:rPr>
          <w:rFonts w:asciiTheme="minorEastAsia" w:hAnsiTheme="minorEastAsia" w:eastAsiaTheme="minorEastAsia"/>
          <w:szCs w:val="24"/>
        </w:rPr>
      </w:pPr>
      <w:r>
        <w:rPr>
          <w:rFonts w:hint="eastAsia"/>
        </w:rPr>
        <w:t>支持</w:t>
      </w:r>
      <w:r>
        <w:rPr>
          <w:rFonts w:hint="eastAsia" w:asciiTheme="minorEastAsia" w:hAnsiTheme="minorEastAsia" w:eastAsiaTheme="minorEastAsia"/>
          <w:szCs w:val="24"/>
        </w:rPr>
        <w:t>可以从“产能”、“效率”和“安全”三个维度，对全院、医疗组、科室、病区及医生进行服务绩效的评估。针对不同的评价对象，可以支持分别对其进行横向的比较分析，横向比较是指评价对象与其同类机构和标杆进行比较分析，评价他们之间绩效的高低及在哪些方面存在差距。</w:t>
      </w:r>
    </w:p>
    <w:p w14:paraId="1BEFD47A">
      <w:pPr>
        <w:pStyle w:val="70"/>
        <w:ind w:firstLine="480"/>
        <w:rPr>
          <w:rFonts w:asciiTheme="minorEastAsia" w:hAnsiTheme="minorEastAsia" w:eastAsiaTheme="minorEastAsia"/>
        </w:rPr>
      </w:pPr>
      <w:r>
        <w:rPr>
          <w:rFonts w:hint="eastAsia" w:asciiTheme="minorEastAsia" w:hAnsiTheme="minorEastAsia" w:eastAsiaTheme="minorEastAsia"/>
        </w:rPr>
        <w:t>绩效方案个性化 、科室指标监测、各科室及全院各指标监测、科室病例区间分布、科室指标象限分析、科室费用分类分析、MDC 监测、专科建设、病组指标监测、病组指标象限分析、病组结构分析、重点病组分析、疑难病组分析、分组数据质量分析、手术分析、病例分析、全局病例查询、历史分组数据查询、报表。</w:t>
      </w:r>
    </w:p>
    <w:p w14:paraId="027E008E">
      <w:pPr>
        <w:pStyle w:val="6"/>
        <w:numPr>
          <w:ilvl w:val="3"/>
          <w:numId w:val="16"/>
        </w:numPr>
        <w:rPr>
          <w:rFonts w:asciiTheme="minorEastAsia" w:hAnsiTheme="minorEastAsia" w:eastAsiaTheme="minorEastAsia"/>
          <w:sz w:val="32"/>
          <w:szCs w:val="32"/>
        </w:rPr>
      </w:pPr>
      <w:r>
        <w:rPr>
          <w:rFonts w:hint="eastAsia" w:asciiTheme="minorEastAsia" w:hAnsiTheme="minorEastAsia" w:eastAsiaTheme="minorEastAsia"/>
          <w:sz w:val="32"/>
          <w:szCs w:val="32"/>
        </w:rPr>
        <w:t>DIP医保支付管理及盈亏分析</w:t>
      </w:r>
    </w:p>
    <w:p w14:paraId="656F2CDF">
      <w:pPr>
        <w:pStyle w:val="70"/>
        <w:ind w:firstLine="0" w:firstLineChars="0"/>
        <w:rPr>
          <w:rStyle w:val="48"/>
          <w:rFonts w:asciiTheme="minorEastAsia" w:hAnsiTheme="minorEastAsia" w:eastAsiaTheme="minorEastAsia"/>
        </w:rPr>
      </w:pPr>
      <w:r>
        <w:rPr>
          <w:rStyle w:val="48"/>
          <w:rFonts w:hint="eastAsia" w:asciiTheme="minorEastAsia" w:hAnsiTheme="minorEastAsia" w:eastAsiaTheme="minorEastAsia"/>
        </w:rPr>
        <w:t>全院盈亏分析</w:t>
      </w:r>
    </w:p>
    <w:p w14:paraId="77B254EB">
      <w:pPr>
        <w:ind w:firstLine="480"/>
        <w:rPr>
          <w:rFonts w:asciiTheme="minorEastAsia" w:hAnsiTheme="minorEastAsia" w:eastAsiaTheme="minorEastAsia"/>
          <w:szCs w:val="24"/>
        </w:rPr>
      </w:pPr>
      <w:r>
        <w:rPr>
          <w:rFonts w:hint="eastAsia" w:asciiTheme="minorEastAsia" w:hAnsiTheme="minorEastAsia" w:eastAsiaTheme="minorEastAsia"/>
          <w:szCs w:val="24"/>
        </w:rPr>
        <w:t>结合</w:t>
      </w:r>
      <w:r>
        <w:rPr>
          <w:rFonts w:asciiTheme="minorEastAsia" w:hAnsiTheme="minorEastAsia" w:eastAsiaTheme="minorEastAsia"/>
          <w:szCs w:val="24"/>
        </w:rPr>
        <w:t xml:space="preserve"> </w:t>
      </w:r>
      <w:r>
        <w:rPr>
          <w:rFonts w:hint="eastAsia" w:asciiTheme="minorEastAsia" w:hAnsiTheme="minorEastAsia" w:eastAsiaTheme="minorEastAsia"/>
          <w:szCs w:val="24"/>
        </w:rPr>
        <w:t>DIP</w:t>
      </w:r>
      <w:r>
        <w:rPr>
          <w:rFonts w:asciiTheme="minorEastAsia" w:hAnsiTheme="minorEastAsia" w:eastAsiaTheme="minorEastAsia"/>
          <w:szCs w:val="24"/>
        </w:rPr>
        <w:t xml:space="preserve"> 付费标准，统计分析全院费用收支、结余、结余和亏损病例数、患</w:t>
      </w:r>
      <w:r>
        <w:rPr>
          <w:rFonts w:hint="eastAsia" w:asciiTheme="minorEastAsia" w:hAnsiTheme="minorEastAsia" w:eastAsiaTheme="minorEastAsia"/>
          <w:szCs w:val="24"/>
        </w:rPr>
        <w:t>者各类费用使用和构成等情况。</w:t>
      </w:r>
    </w:p>
    <w:p w14:paraId="16DCAEDF">
      <w:pPr>
        <w:pStyle w:val="70"/>
        <w:ind w:firstLine="0" w:firstLineChars="0"/>
        <w:rPr>
          <w:rStyle w:val="48"/>
          <w:rFonts w:asciiTheme="minorEastAsia" w:hAnsiTheme="minorEastAsia" w:eastAsiaTheme="minorEastAsia"/>
        </w:rPr>
      </w:pPr>
      <w:r>
        <w:rPr>
          <w:rStyle w:val="48"/>
          <w:rFonts w:hint="eastAsia" w:asciiTheme="minorEastAsia" w:hAnsiTheme="minorEastAsia" w:eastAsiaTheme="minorEastAsia"/>
        </w:rPr>
        <w:t>科室盈亏分析、医生盈亏分析、DIP</w:t>
      </w:r>
      <w:r>
        <w:rPr>
          <w:rStyle w:val="48"/>
          <w:rFonts w:asciiTheme="minorEastAsia" w:hAnsiTheme="minorEastAsia" w:eastAsiaTheme="minorEastAsia"/>
        </w:rPr>
        <w:t xml:space="preserve"> 盈亏分析</w:t>
      </w:r>
      <w:r>
        <w:rPr>
          <w:rStyle w:val="48"/>
          <w:rFonts w:hint="eastAsia" w:asciiTheme="minorEastAsia" w:hAnsiTheme="minorEastAsia" w:eastAsiaTheme="minorEastAsia"/>
        </w:rPr>
        <w:t>、DIP</w:t>
      </w:r>
      <w:r>
        <w:rPr>
          <w:rStyle w:val="48"/>
          <w:rFonts w:asciiTheme="minorEastAsia" w:hAnsiTheme="minorEastAsia" w:eastAsiaTheme="minorEastAsia"/>
        </w:rPr>
        <w:t xml:space="preserve"> 模拟付费</w:t>
      </w:r>
      <w:r>
        <w:rPr>
          <w:rStyle w:val="48"/>
          <w:rFonts w:hint="eastAsia" w:asciiTheme="minorEastAsia" w:hAnsiTheme="minorEastAsia" w:eastAsiaTheme="minorEastAsia"/>
        </w:rPr>
        <w:t xml:space="preserve"> 、病例分析  、病组结构分析、重点病组分析、病组象限分析、科室费用构成、医保基金管理</w:t>
      </w:r>
    </w:p>
    <w:p w14:paraId="123000B8">
      <w:pPr>
        <w:ind w:firstLine="480"/>
        <w:rPr>
          <w:rFonts w:asciiTheme="minorEastAsia" w:hAnsiTheme="minorEastAsia" w:eastAsiaTheme="minorEastAsia"/>
          <w:szCs w:val="24"/>
        </w:rPr>
      </w:pPr>
      <w:r>
        <w:rPr>
          <w:rFonts w:hint="eastAsia" w:asciiTheme="minorEastAsia" w:hAnsiTheme="minorEastAsia" w:eastAsiaTheme="minorEastAsia"/>
          <w:szCs w:val="24"/>
        </w:rPr>
        <w:t>医保总额测算，实现医院下一年度医保总额的预计测算，主要方法是根据医院当年主要绩效考核指标的完成值调整各科室组的参数，随后再根据调整后参数值、各科室所开展病种的医保患者和非医保患者当期值和标杆值情况以及相关公式测算科室下各病种的医保费用相关指标值，同理对各科室组下各病种的相关指标值进行测算，然后根据各科室组的预测结构计算出全院的指标值，最后根据全院指标值的预测结果可进行科室、科室组、病种相关指标的反复调整得出最终合理的预测值。</w:t>
      </w:r>
    </w:p>
    <w:p w14:paraId="7E15BB2A">
      <w:pPr>
        <w:ind w:firstLine="480"/>
        <w:rPr>
          <w:rFonts w:asciiTheme="minorEastAsia" w:hAnsiTheme="minorEastAsia" w:eastAsiaTheme="minorEastAsia"/>
          <w:szCs w:val="24"/>
        </w:rPr>
      </w:pPr>
      <w:r>
        <w:rPr>
          <w:rFonts w:hint="eastAsia" w:asciiTheme="minorEastAsia" w:hAnsiTheme="minorEastAsia" w:eastAsiaTheme="minorEastAsia"/>
          <w:szCs w:val="24"/>
        </w:rPr>
        <w:t>基金分配，系统提供医保基金设置，可将医保基金分配到各个月份进行管理。基金监测，针对医院基金使用情况进行多维度的监测，监测维度包含历史使用情况分布、险种类型分布、科室分布、医生、DIP</w:t>
      </w:r>
      <w:r>
        <w:rPr>
          <w:rFonts w:asciiTheme="minorEastAsia" w:hAnsiTheme="minorEastAsia" w:eastAsiaTheme="minorEastAsia"/>
          <w:szCs w:val="24"/>
        </w:rPr>
        <w:t xml:space="preserve"> 病组使用分布等。</w:t>
      </w:r>
    </w:p>
    <w:p w14:paraId="2B38606F">
      <w:pPr>
        <w:pStyle w:val="70"/>
        <w:ind w:firstLine="0" w:firstLineChars="0"/>
        <w:rPr>
          <w:rStyle w:val="48"/>
          <w:rFonts w:asciiTheme="minorEastAsia" w:hAnsiTheme="minorEastAsia" w:eastAsiaTheme="minorEastAsia"/>
        </w:rPr>
      </w:pPr>
      <w:r>
        <w:rPr>
          <w:rStyle w:val="48"/>
          <w:rFonts w:hint="eastAsia" w:asciiTheme="minorEastAsia" w:hAnsiTheme="minorEastAsia" w:eastAsiaTheme="minorEastAsia"/>
        </w:rPr>
        <w:t xml:space="preserve">管理目标测算  </w:t>
      </w:r>
    </w:p>
    <w:p w14:paraId="53B92B24">
      <w:pPr>
        <w:ind w:firstLine="480"/>
        <w:rPr>
          <w:rFonts w:asciiTheme="minorEastAsia" w:hAnsiTheme="minorEastAsia" w:eastAsiaTheme="minorEastAsia"/>
          <w:szCs w:val="24"/>
        </w:rPr>
      </w:pPr>
      <w:r>
        <w:rPr>
          <w:rFonts w:hint="eastAsia" w:asciiTheme="minorEastAsia" w:hAnsiTheme="minorEastAsia" w:eastAsiaTheme="minorEastAsia"/>
          <w:szCs w:val="24"/>
        </w:rPr>
        <w:t>实现医院下一年度医保总额的预计测算，主要方法是根据医院当年主要绩效考核指标的完成值调整各科室组的参数，随后再根据调整后参数值、各科室所开展病种的医保患者和非医保患者当期值和标杆值情况以及相关公式测算科室下</w:t>
      </w:r>
      <w:r>
        <w:rPr>
          <w:rFonts w:asciiTheme="minorEastAsia" w:hAnsiTheme="minorEastAsia" w:eastAsiaTheme="minorEastAsia"/>
          <w:szCs w:val="24"/>
        </w:rPr>
        <w:t xml:space="preserve"> 各病种的医保费用相关指标值，同理对各科室组下各病种的相关指标值进行测 算，然后根据各科室组的预测结构计算出全院的指标值，最后根据全院指标值的预测结果可进行科室、科室组、病种相关指标的反复调整得出最终合理的预测值。</w:t>
      </w:r>
    </w:p>
    <w:p w14:paraId="62144734">
      <w:pPr>
        <w:ind w:firstLine="480"/>
        <w:rPr>
          <w:rFonts w:asciiTheme="minorEastAsia" w:hAnsiTheme="minorEastAsia" w:eastAsiaTheme="minorEastAsia"/>
          <w:szCs w:val="24"/>
        </w:rPr>
      </w:pPr>
      <w:r>
        <w:rPr>
          <w:rFonts w:hint="eastAsia" w:asciiTheme="minorEastAsia" w:hAnsiTheme="minorEastAsia" w:eastAsiaTheme="minorEastAsia"/>
          <w:szCs w:val="24"/>
        </w:rPr>
        <w:t>针对此医保测算结果，医院可用来与保险相关部门进行费用谈判，为谈判过程提供理论和数据支持。医疗服务统计报表、病例日分析等。</w:t>
      </w:r>
    </w:p>
    <w:p w14:paraId="5D505FF8">
      <w:pPr>
        <w:pStyle w:val="5"/>
        <w:numPr>
          <w:ilvl w:val="2"/>
          <w:numId w:val="16"/>
        </w:numPr>
      </w:pPr>
      <w:r>
        <w:rPr>
          <w:rFonts w:hint="eastAsia"/>
        </w:rPr>
        <w:t>文档管理系统</w:t>
      </w:r>
    </w:p>
    <w:p w14:paraId="55CAB6EA">
      <w:pPr>
        <w:pStyle w:val="3"/>
      </w:pPr>
      <w:r>
        <w:rPr>
          <w:rFonts w:hint="eastAsia" w:asciiTheme="minorEastAsia" w:hAnsiTheme="minorEastAsia" w:eastAsiaTheme="minorEastAsia"/>
        </w:rPr>
        <w:t>支持以下功能：</w:t>
      </w:r>
    </w:p>
    <w:p w14:paraId="1AA411EC">
      <w:pPr>
        <w:pStyle w:val="175"/>
        <w:spacing w:line="460" w:lineRule="exact"/>
        <w:ind w:firstLine="480"/>
      </w:pPr>
      <w:r>
        <w:rPr>
          <w:rFonts w:hint="eastAsia"/>
        </w:rPr>
        <w:t>依据ISO15189相关要求实现了</w:t>
      </w:r>
      <w:r>
        <w:t>对</w:t>
      </w:r>
      <w:r>
        <w:rPr>
          <w:rFonts w:hint="eastAsia"/>
        </w:rPr>
        <w:t>诸如项目操作规程、采集手册、服务手册、项目手册等临床</w:t>
      </w:r>
      <w:r>
        <w:t>实验室</w:t>
      </w:r>
      <w:r>
        <w:rPr>
          <w:rFonts w:hint="eastAsia"/>
        </w:rPr>
        <w:t>程序化</w:t>
      </w:r>
      <w:r>
        <w:t>文件</w:t>
      </w:r>
      <w:r>
        <w:rPr>
          <w:rFonts w:hint="eastAsia"/>
        </w:rPr>
        <w:t>按照</w:t>
      </w:r>
      <w:r>
        <w:t>体系-</w:t>
      </w:r>
      <w:r>
        <w:rPr>
          <w:rFonts w:hint="eastAsia"/>
        </w:rPr>
        <w:t>分类-</w:t>
      </w:r>
      <w:r>
        <w:t>文档-文件</w:t>
      </w:r>
      <w:r>
        <w:rPr>
          <w:rFonts w:hint="eastAsia"/>
        </w:rPr>
        <w:t>进行</w:t>
      </w:r>
      <w:r>
        <w:t>分级管理</w:t>
      </w:r>
      <w:r>
        <w:rPr>
          <w:rFonts w:hint="eastAsia"/>
        </w:rPr>
        <w:t>，</w:t>
      </w:r>
      <w:r>
        <w:t>并进行版本</w:t>
      </w:r>
      <w:r>
        <w:rPr>
          <w:rFonts w:hint="eastAsia"/>
        </w:rPr>
        <w:t>化</w:t>
      </w:r>
      <w:r>
        <w:t>控制</w:t>
      </w:r>
      <w:r>
        <w:rPr>
          <w:rFonts w:hint="eastAsia"/>
        </w:rPr>
        <w:t>；</w:t>
      </w:r>
      <w:r>
        <w:t>非体系文件电子化流程</w:t>
      </w:r>
      <w:r>
        <w:rPr>
          <w:rFonts w:hint="eastAsia"/>
        </w:rPr>
        <w:t>分类</w:t>
      </w:r>
      <w:r>
        <w:t>管理</w:t>
      </w:r>
      <w:r>
        <w:rPr>
          <w:rFonts w:hint="eastAsia"/>
        </w:rPr>
        <w:t>。</w:t>
      </w:r>
    </w:p>
    <w:p w14:paraId="4D40909D">
      <w:pPr>
        <w:pStyle w:val="175"/>
        <w:spacing w:line="460" w:lineRule="exact"/>
        <w:ind w:firstLine="480"/>
      </w:pPr>
      <w:r>
        <w:rPr>
          <w:rFonts w:hint="eastAsia"/>
        </w:rPr>
        <w:t>文件</w:t>
      </w:r>
      <w:r>
        <w:t>格式涵盖了</w:t>
      </w:r>
      <w:r>
        <w:rPr>
          <w:rFonts w:hint="eastAsia"/>
        </w:rPr>
        <w:t>所有office文档、PDF文档、HTML文档、图片文档。</w:t>
      </w:r>
    </w:p>
    <w:p w14:paraId="31C65E72">
      <w:pPr>
        <w:pStyle w:val="175"/>
        <w:spacing w:line="460" w:lineRule="exact"/>
        <w:ind w:firstLine="480"/>
      </w:pPr>
      <w:r>
        <w:rPr>
          <w:rFonts w:hint="eastAsia"/>
        </w:rPr>
        <w:t>支持文件上传、在线拍照等形式导入文件。</w:t>
      </w:r>
    </w:p>
    <w:p w14:paraId="0B0C6433">
      <w:pPr>
        <w:pStyle w:val="175"/>
        <w:spacing w:line="460" w:lineRule="exact"/>
        <w:ind w:firstLine="480"/>
      </w:pPr>
      <w:r>
        <w:rPr>
          <w:rFonts w:hint="eastAsia"/>
        </w:rPr>
        <w:t>内嵌office控件，实现文件office在线</w:t>
      </w:r>
      <w:r>
        <w:t>编辑</w:t>
      </w:r>
      <w:r>
        <w:rPr>
          <w:rFonts w:hint="eastAsia"/>
        </w:rPr>
        <w:t>，并具备修改</w:t>
      </w:r>
      <w:r>
        <w:t>痕迹</w:t>
      </w:r>
      <w:r>
        <w:rPr>
          <w:rFonts w:hint="eastAsia"/>
        </w:rPr>
        <w:t>自动记录功能。</w:t>
      </w:r>
    </w:p>
    <w:p w14:paraId="12913C14">
      <w:pPr>
        <w:pStyle w:val="175"/>
        <w:spacing w:line="460" w:lineRule="exact"/>
        <w:ind w:firstLine="480"/>
      </w:pPr>
      <w:r>
        <w:rPr>
          <w:rFonts w:hint="eastAsia"/>
        </w:rPr>
        <w:t>所有文件可以自定义电子审批流程，实现在线办公，具备待办</w:t>
      </w:r>
      <w:r>
        <w:t>事项提醒</w:t>
      </w:r>
      <w:r>
        <w:rPr>
          <w:rFonts w:hint="eastAsia"/>
        </w:rPr>
        <w:t>功能。</w:t>
      </w:r>
    </w:p>
    <w:p w14:paraId="58C9DA82">
      <w:pPr>
        <w:pStyle w:val="175"/>
        <w:spacing w:line="460" w:lineRule="exact"/>
        <w:ind w:firstLine="480"/>
      </w:pPr>
      <w:r>
        <w:rPr>
          <w:rFonts w:hint="eastAsia"/>
        </w:rPr>
        <w:t>用户自定义安全</w:t>
      </w:r>
      <w:r>
        <w:t>策略</w:t>
      </w:r>
      <w:r>
        <w:rPr>
          <w:rFonts w:hint="eastAsia"/>
        </w:rPr>
        <w:t>，融合电子签名</w:t>
      </w:r>
      <w:r>
        <w:t>、</w:t>
      </w:r>
      <w:r>
        <w:rPr>
          <w:rFonts w:hint="eastAsia"/>
        </w:rPr>
        <w:t>电子</w:t>
      </w:r>
      <w:r>
        <w:t>印章</w:t>
      </w:r>
      <w:r>
        <w:rPr>
          <w:rFonts w:hint="eastAsia"/>
        </w:rPr>
        <w:t>功能。</w:t>
      </w:r>
    </w:p>
    <w:p w14:paraId="26F0B574">
      <w:pPr>
        <w:pStyle w:val="175"/>
        <w:spacing w:line="460" w:lineRule="exact"/>
        <w:ind w:firstLine="480"/>
      </w:pPr>
      <w:r>
        <w:rPr>
          <w:rFonts w:hint="eastAsia"/>
        </w:rPr>
        <w:t>具备发布</w:t>
      </w:r>
      <w:r>
        <w:t>、</w:t>
      </w:r>
      <w:r>
        <w:rPr>
          <w:rFonts w:hint="eastAsia"/>
        </w:rPr>
        <w:t>分发分级</w:t>
      </w:r>
      <w:r>
        <w:t>控制</w:t>
      </w:r>
      <w:r>
        <w:rPr>
          <w:rFonts w:hint="eastAsia"/>
        </w:rPr>
        <w:t>。</w:t>
      </w:r>
    </w:p>
    <w:p w14:paraId="0EF27E00">
      <w:pPr>
        <w:pStyle w:val="175"/>
        <w:spacing w:line="460" w:lineRule="exact"/>
        <w:ind w:firstLine="480"/>
      </w:pPr>
      <w:r>
        <w:rPr>
          <w:rFonts w:hint="eastAsia"/>
        </w:rPr>
        <w:t>具有词条</w:t>
      </w:r>
      <w:r>
        <w:t>定义</w:t>
      </w:r>
      <w:r>
        <w:rPr>
          <w:rFonts w:hint="eastAsia"/>
        </w:rPr>
        <w:t>功能实现关键词快速检索定位。</w:t>
      </w:r>
    </w:p>
    <w:p w14:paraId="47958D6A">
      <w:pPr>
        <w:pStyle w:val="4"/>
        <w:numPr>
          <w:ilvl w:val="1"/>
          <w:numId w:val="16"/>
        </w:numPr>
        <w:spacing w:line="460" w:lineRule="exact"/>
      </w:pPr>
      <w:r>
        <w:rPr>
          <w:rFonts w:hint="eastAsia"/>
        </w:rPr>
        <w:t>接口对接</w:t>
      </w:r>
    </w:p>
    <w:p w14:paraId="7FDC9CCA">
      <w:pPr>
        <w:pStyle w:val="175"/>
        <w:spacing w:line="460" w:lineRule="exact"/>
        <w:ind w:firstLine="480"/>
      </w:pPr>
      <w:r>
        <w:rPr>
          <w:rFonts w:hint="eastAsia"/>
        </w:rPr>
        <w:t>公卫系统接口、互联网医院接口、巴彦淖尔市医共体平台与乌拉特前旗医共体平台的接口</w:t>
      </w:r>
    </w:p>
    <w:p w14:paraId="3A3F83CD">
      <w:pPr>
        <w:pStyle w:val="175"/>
        <w:spacing w:line="460" w:lineRule="exact"/>
        <w:ind w:firstLine="480"/>
      </w:pPr>
      <w:r>
        <w:rPr>
          <w:rFonts w:hint="eastAsia"/>
        </w:rPr>
        <w:t>实现医共体平台、区域影像中心、区域病理中心、区域医学检验中心、区域消毒供应中心、院前急救中心、区域审方中心、区域慢病中心、远程会诊中心、转诊中心、检查检验结果互认中心和乌拉特前旗中蒙医院、乌拉特前旗妇幼保健院的数据对接，实现互联互通。</w:t>
      </w:r>
    </w:p>
    <w:p w14:paraId="51AC60BA">
      <w:pPr>
        <w:pStyle w:val="175"/>
        <w:spacing w:line="460" w:lineRule="exact"/>
        <w:ind w:firstLine="480"/>
      </w:pPr>
      <w:r>
        <w:rPr>
          <w:rFonts w:hint="eastAsia"/>
        </w:rPr>
        <w:t>本项目建设范围内，项目验收后3年内，投标人需免费为招标人提供和对接各平台接口，实现与乌拉特前旗人民医院院内系统、后续新建系统接入乌拉特前旗医共体平台的接口对接，实现数据的互联互通。</w:t>
      </w:r>
    </w:p>
    <w:p w14:paraId="0E25ECB7">
      <w:pPr>
        <w:pStyle w:val="175"/>
        <w:spacing w:line="460" w:lineRule="exact"/>
        <w:ind w:firstLine="480"/>
      </w:pPr>
      <w:r>
        <w:rPr>
          <w:rFonts w:hint="eastAsia"/>
        </w:rPr>
        <w:t>本项目建设范围内，项目验收后3年内，投标人需免费为招标人提供和对接各平台接口，实现与乌拉特前旗中蒙医院院内系统接入乌拉特前旗医共体平台的接口对接，实现数据的互联互通。</w:t>
      </w:r>
    </w:p>
    <w:p w14:paraId="1D247893">
      <w:pPr>
        <w:pStyle w:val="175"/>
        <w:spacing w:line="460" w:lineRule="exact"/>
        <w:ind w:firstLine="480"/>
      </w:pPr>
      <w:r>
        <w:rPr>
          <w:rFonts w:hint="eastAsia"/>
        </w:rPr>
        <w:t>本项目建设范围内，项目验收后3年内，投标人需免费为招标人提供和对接各平台接口，实现与乌拉特前旗妇幼保健计划生育服务中心院内系统接入乌拉特前旗医共体平台的接口对接，实现数据的互联互通。</w:t>
      </w:r>
    </w:p>
    <w:p w14:paraId="0E9A3084">
      <w:pPr>
        <w:pStyle w:val="175"/>
        <w:spacing w:line="460" w:lineRule="exact"/>
        <w:ind w:firstLine="480"/>
      </w:pPr>
      <w:r>
        <w:rPr>
          <w:rFonts w:hint="eastAsia"/>
        </w:rPr>
        <w:t>本项目建设范围内，项目验收后3年内，投标人需免费为招标人提供和对接各平台接口，实现与乌拉特前旗基层机构系统接入乌拉特前旗医共体平台的接口对接，实现数据的互联互通。</w:t>
      </w:r>
    </w:p>
    <w:p w14:paraId="1B2A7292">
      <w:pPr>
        <w:pStyle w:val="175"/>
        <w:spacing w:line="460" w:lineRule="exact"/>
        <w:ind w:firstLine="480"/>
      </w:pPr>
      <w:r>
        <w:rPr>
          <w:rFonts w:hint="eastAsia"/>
        </w:rPr>
        <w:t>乌拉特前旗人民医院与国家各上报系统的接口，并且验收后3年接口免费对接，</w:t>
      </w:r>
    </w:p>
    <w:p w14:paraId="0E380253">
      <w:pPr>
        <w:pStyle w:val="175"/>
        <w:ind w:firstLine="0" w:firstLineChars="0"/>
      </w:pPr>
      <w:r>
        <w:rPr>
          <w:rFonts w:hint="eastAsia"/>
        </w:rPr>
        <w:t>实现数据的互联互通。</w:t>
      </w:r>
    </w:p>
    <w:p w14:paraId="5B205D4E">
      <w:pPr>
        <w:pStyle w:val="3"/>
      </w:pPr>
    </w:p>
    <w:p w14:paraId="3FE48A32">
      <w:pPr>
        <w:pStyle w:val="2"/>
        <w:bidi w:val="0"/>
      </w:pPr>
      <w:r>
        <w:rPr>
          <w:rFonts w:hint="eastAsia"/>
        </w:rPr>
        <w:t>硬件建设清单</w:t>
      </w:r>
    </w:p>
    <w:tbl>
      <w:tblPr>
        <w:tblStyle w:val="4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86"/>
        <w:gridCol w:w="916"/>
        <w:gridCol w:w="6664"/>
        <w:gridCol w:w="546"/>
        <w:gridCol w:w="448"/>
      </w:tblGrid>
      <w:tr w14:paraId="1F0E8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2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BBA88">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硬件建设清单</w:t>
            </w:r>
          </w:p>
        </w:tc>
      </w:tr>
      <w:tr w14:paraId="0D1FE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575B9F">
            <w:pPr>
              <w:keepNext w:val="0"/>
              <w:keepLines w:val="0"/>
              <w:widowControl/>
              <w:suppressLineNumbers w:val="0"/>
              <w:jc w:val="center"/>
              <w:textAlignment w:val="center"/>
              <w:rPr>
                <w:rFonts w:hint="eastAsia" w:ascii="宋体" w:hAnsi="宋体" w:eastAsia="宋体" w:cs="宋体"/>
                <w:i w:val="0"/>
                <w:iCs w:val="0"/>
                <w:color w:val="000000"/>
                <w:sz w:val="27"/>
                <w:szCs w:val="27"/>
                <w:u w:val="none"/>
              </w:rPr>
            </w:pPr>
            <w:r>
              <w:rPr>
                <w:rFonts w:hint="eastAsia" w:ascii="宋体" w:hAnsi="宋体" w:eastAsia="宋体" w:cs="宋体"/>
                <w:i w:val="0"/>
                <w:iCs w:val="0"/>
                <w:color w:val="000000"/>
                <w:kern w:val="0"/>
                <w:sz w:val="27"/>
                <w:szCs w:val="27"/>
                <w:u w:val="none"/>
                <w:lang w:val="en-US" w:eastAsia="zh-CN" w:bidi="ar"/>
              </w:rPr>
              <w:t>序号</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0E0B4E">
            <w:pPr>
              <w:keepNext w:val="0"/>
              <w:keepLines w:val="0"/>
              <w:widowControl/>
              <w:suppressLineNumbers w:val="0"/>
              <w:jc w:val="center"/>
              <w:textAlignment w:val="center"/>
              <w:rPr>
                <w:rFonts w:hint="eastAsia" w:ascii="宋体" w:hAnsi="宋体" w:eastAsia="宋体" w:cs="宋体"/>
                <w:i w:val="0"/>
                <w:iCs w:val="0"/>
                <w:color w:val="000000"/>
                <w:sz w:val="23"/>
                <w:szCs w:val="23"/>
                <w:u w:val="none"/>
              </w:rPr>
            </w:pPr>
            <w:r>
              <w:rPr>
                <w:rFonts w:hint="eastAsia" w:ascii="宋体" w:hAnsi="宋体" w:eastAsia="宋体" w:cs="宋体"/>
                <w:i w:val="0"/>
                <w:iCs w:val="0"/>
                <w:color w:val="000000"/>
                <w:kern w:val="0"/>
                <w:sz w:val="23"/>
                <w:szCs w:val="23"/>
                <w:u w:val="none"/>
                <w:lang w:val="en-US" w:eastAsia="zh-CN" w:bidi="ar"/>
              </w:rPr>
              <w:t>设备名称</w:t>
            </w:r>
          </w:p>
        </w:tc>
        <w:tc>
          <w:tcPr>
            <w:tcW w:w="3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98D9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主要性能指标</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A0EEB8">
            <w:pPr>
              <w:keepNext w:val="0"/>
              <w:keepLines w:val="0"/>
              <w:widowControl/>
              <w:suppressLineNumbers w:val="0"/>
              <w:jc w:val="center"/>
              <w:textAlignment w:val="center"/>
              <w:rPr>
                <w:rFonts w:hint="eastAsia" w:ascii="宋体" w:hAnsi="宋体" w:eastAsia="宋体" w:cs="宋体"/>
                <w:i w:val="0"/>
                <w:iCs w:val="0"/>
                <w:color w:val="000000"/>
                <w:sz w:val="23"/>
                <w:szCs w:val="23"/>
                <w:u w:val="none"/>
              </w:rPr>
            </w:pPr>
            <w:r>
              <w:rPr>
                <w:rFonts w:hint="eastAsia" w:ascii="宋体" w:hAnsi="宋体" w:eastAsia="宋体" w:cs="宋体"/>
                <w:i w:val="0"/>
                <w:iCs w:val="0"/>
                <w:color w:val="000000"/>
                <w:kern w:val="0"/>
                <w:sz w:val="23"/>
                <w:szCs w:val="23"/>
                <w:u w:val="none"/>
                <w:lang w:val="en-US" w:eastAsia="zh-CN" w:bidi="ar"/>
              </w:rPr>
              <w:t>数量</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9A68BD">
            <w:pPr>
              <w:keepNext w:val="0"/>
              <w:keepLines w:val="0"/>
              <w:widowControl/>
              <w:suppressLineNumbers w:val="0"/>
              <w:jc w:val="center"/>
              <w:textAlignment w:val="center"/>
              <w:rPr>
                <w:rFonts w:hint="eastAsia" w:ascii="宋体" w:hAnsi="宋体" w:eastAsia="宋体" w:cs="宋体"/>
                <w:i w:val="0"/>
                <w:iCs w:val="0"/>
                <w:color w:val="000000"/>
                <w:sz w:val="23"/>
                <w:szCs w:val="23"/>
                <w:u w:val="none"/>
              </w:rPr>
            </w:pPr>
            <w:r>
              <w:rPr>
                <w:rFonts w:hint="eastAsia" w:ascii="宋体" w:hAnsi="宋体" w:eastAsia="宋体" w:cs="宋体"/>
                <w:i w:val="0"/>
                <w:iCs w:val="0"/>
                <w:color w:val="000000"/>
                <w:kern w:val="0"/>
                <w:sz w:val="23"/>
                <w:szCs w:val="23"/>
                <w:u w:val="none"/>
                <w:lang w:val="en-US" w:eastAsia="zh-CN" w:bidi="ar"/>
              </w:rPr>
              <w:t>单位</w:t>
            </w:r>
          </w:p>
        </w:tc>
      </w:tr>
      <w:tr w14:paraId="4CDAF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0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400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AFE8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医共体核心交换机</w:t>
            </w:r>
          </w:p>
        </w:tc>
        <w:tc>
          <w:tcPr>
            <w:tcW w:w="3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5C36B6">
            <w:pPr>
              <w:keepNext w:val="0"/>
              <w:keepLines w:val="0"/>
              <w:widowControl/>
              <w:suppressLineNumbers w:val="0"/>
              <w:jc w:val="left"/>
              <w:textAlignment w:val="center"/>
              <w:rPr>
                <w:rStyle w:val="308"/>
                <w:rFonts w:hint="eastAsia"/>
                <w:lang w:val="en-US" w:eastAsia="zh-CN" w:bidi="ar"/>
              </w:rPr>
            </w:pPr>
            <w:r>
              <w:rPr>
                <w:rStyle w:val="307"/>
                <w:lang w:val="en-US" w:eastAsia="zh-CN" w:bidi="ar"/>
              </w:rPr>
              <w:t>框式核心交换机</w:t>
            </w:r>
            <w:r>
              <w:rPr>
                <w:rStyle w:val="308"/>
                <w:lang w:val="en-US" w:eastAsia="zh-CN" w:bidi="ar"/>
              </w:rPr>
              <w:br w:type="textWrapping"/>
            </w:r>
            <w:r>
              <w:rPr>
                <w:rStyle w:val="308"/>
                <w:lang w:val="en-US" w:eastAsia="zh-CN" w:bidi="ar"/>
              </w:rPr>
              <w:t>≥24端口千兆以太网电接口</w:t>
            </w:r>
            <w:r>
              <w:rPr>
                <w:rStyle w:val="308"/>
                <w:lang w:val="en-US" w:eastAsia="zh-CN" w:bidi="ar"/>
              </w:rPr>
              <w:br w:type="textWrapping"/>
            </w:r>
            <w:r>
              <w:rPr>
                <w:rStyle w:val="308"/>
                <w:lang w:val="en-US" w:eastAsia="zh-CN" w:bidi="ar"/>
              </w:rPr>
              <w:t>≥4端口万兆以太网光接口板</w:t>
            </w:r>
            <w:r>
              <w:rPr>
                <w:rStyle w:val="308"/>
                <w:lang w:val="en-US" w:eastAsia="zh-CN" w:bidi="ar"/>
              </w:rPr>
              <w:br w:type="textWrapping"/>
            </w:r>
            <w:r>
              <w:rPr>
                <w:rStyle w:val="308"/>
                <w:lang w:val="en-US" w:eastAsia="zh-CN" w:bidi="ar"/>
              </w:rPr>
              <w:t>≥48端口千兆以太网光接口板</w:t>
            </w:r>
            <w:r>
              <w:rPr>
                <w:rStyle w:val="308"/>
                <w:lang w:val="en-US" w:eastAsia="zh-CN" w:bidi="ar"/>
              </w:rPr>
              <w:br w:type="textWrapping"/>
            </w:r>
            <w:r>
              <w:rPr>
                <w:rStyle w:val="308"/>
                <w:lang w:val="en-US" w:eastAsia="zh-CN" w:bidi="ar"/>
              </w:rPr>
              <w:t>交流电源模块*2</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8E3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6F6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32E82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73"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0A2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8EFA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二层可管理交换机(附带光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模块)</w:t>
            </w:r>
          </w:p>
        </w:tc>
        <w:tc>
          <w:tcPr>
            <w:tcW w:w="3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C9CD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308"/>
                <w:lang w:val="en-US" w:eastAsia="zh-CN" w:bidi="ar"/>
              </w:rPr>
              <w:t>1、设备性能：交换容量≥672Gbps转发性能，≥126Mpps</w:t>
            </w:r>
            <w:r>
              <w:rPr>
                <w:rStyle w:val="308"/>
                <w:lang w:val="en-US" w:eastAsia="zh-CN" w:bidi="ar"/>
              </w:rPr>
              <w:br w:type="textWrapping"/>
            </w:r>
            <w:r>
              <w:rPr>
                <w:rStyle w:val="308"/>
                <w:lang w:val="en-US" w:eastAsia="zh-CN" w:bidi="ar"/>
              </w:rPr>
              <w:t>2、接口类型： ≥24个10/100/1000BASE-T自适应以太网端口，≥4个千兆 SFP端口</w:t>
            </w:r>
            <w:r>
              <w:rPr>
                <w:rStyle w:val="308"/>
                <w:lang w:val="en-US" w:eastAsia="zh-CN" w:bidi="ar"/>
              </w:rPr>
              <w:br w:type="textWrapping"/>
            </w:r>
            <w:r>
              <w:rPr>
                <w:rStyle w:val="307"/>
                <w:lang w:val="en-US" w:eastAsia="zh-CN" w:bidi="ar"/>
              </w:rPr>
              <w:t>支持CONSOLE命令行调试，VLAN、二层聚合、DHCPSNOOPING、LOOPBACK-DETECT等功能</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ADE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7D0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21B8C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3"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4AB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3166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医共体防火墙</w:t>
            </w:r>
          </w:p>
        </w:tc>
        <w:tc>
          <w:tcPr>
            <w:tcW w:w="3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D234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309"/>
                <w:lang w:val="en-US" w:eastAsia="zh-CN" w:bidi="ar"/>
              </w:rPr>
              <w:t>1.性能参数：网络层吞吐量≥20G，应用层吞吐量≥15G，防病毒吞吐量≥2G，IPS吞吐量≥2G，全威胁吞吐量≥1.5G，并发连接数≥</w:t>
            </w:r>
            <w:r>
              <w:rPr>
                <w:rStyle w:val="310"/>
                <w:lang w:val="en-US" w:eastAsia="zh-CN" w:bidi="ar"/>
              </w:rPr>
              <w:t>230万</w:t>
            </w:r>
            <w:r>
              <w:rPr>
                <w:rStyle w:val="309"/>
                <w:lang w:val="en-US" w:eastAsia="zh-CN" w:bidi="ar"/>
              </w:rPr>
              <w:t>，HTTP新建连接数≥16万，SSLVPN推荐用户数≥200，SSLVPN最大用户数≥1000，SSLVPN最大理论加密流量≥200M，IPSecVPN最大接入数≥1500，IPSecVPN吞吐量≥1G；</w:t>
            </w:r>
            <w:r>
              <w:rPr>
                <w:rStyle w:val="309"/>
                <w:lang w:val="en-US" w:eastAsia="zh-CN" w:bidi="ar"/>
              </w:rPr>
              <w:br w:type="textWrapping"/>
            </w:r>
            <w:r>
              <w:rPr>
                <w:rStyle w:val="309"/>
                <w:lang w:val="en-US" w:eastAsia="zh-CN" w:bidi="ar"/>
              </w:rPr>
              <w:t>2.硬件参数：规格：</w:t>
            </w:r>
            <w:r>
              <w:rPr>
                <w:rStyle w:val="311"/>
                <w:lang w:val="en-US" w:eastAsia="zh-CN" w:bidi="ar"/>
              </w:rPr>
              <w:t>2U</w:t>
            </w:r>
            <w:r>
              <w:rPr>
                <w:rStyle w:val="308"/>
                <w:lang w:val="en-US" w:eastAsia="zh-CN" w:bidi="ar"/>
              </w:rPr>
              <w:t>机架式设备，内存≥</w:t>
            </w:r>
            <w:r>
              <w:rPr>
                <w:rStyle w:val="310"/>
                <w:lang w:val="en-US" w:eastAsia="zh-CN" w:bidi="ar"/>
              </w:rPr>
              <w:t>8G</w:t>
            </w:r>
            <w:r>
              <w:rPr>
                <w:rStyle w:val="308"/>
                <w:lang w:val="en-US" w:eastAsia="zh-CN" w:bidi="ar"/>
              </w:rPr>
              <w:t>，硬盘≥128GSSD，电源：冗余电源，接口≥6千兆电口；</w:t>
            </w:r>
            <w:r>
              <w:rPr>
                <w:rStyle w:val="308"/>
                <w:lang w:val="en-US" w:eastAsia="zh-CN" w:bidi="ar"/>
              </w:rPr>
              <w:br w:type="textWrapping"/>
            </w:r>
            <w:r>
              <w:rPr>
                <w:rStyle w:val="308"/>
                <w:color w:val="FF0000"/>
                <w:highlight w:val="yellow"/>
                <w:lang w:val="en-US" w:eastAsia="zh-CN" w:bidi="ar"/>
              </w:rPr>
              <w:t>3.产品支持IPSecVPN功能；</w:t>
            </w:r>
            <w:r>
              <w:rPr>
                <w:rStyle w:val="308"/>
                <w:strike/>
                <w:dstrike w:val="0"/>
                <w:highlight w:val="yellow"/>
                <w:lang w:val="en-US" w:eastAsia="zh-CN" w:bidi="ar"/>
              </w:rPr>
              <w:br w:type="textWrapping"/>
            </w:r>
            <w:r>
              <w:rPr>
                <w:rStyle w:val="308"/>
                <w:color w:val="FF0000"/>
                <w:highlight w:val="yellow"/>
                <w:lang w:val="en-US" w:eastAsia="zh-CN" w:bidi="ar"/>
              </w:rPr>
              <w:t>4.产品支持应用的识别和控制，应用类型包括游戏、购物、图书百科、工作招聘、P2P下载、聊天工具、旅游出行、股票软件等类型应用进行检测与控制。</w:t>
            </w:r>
            <w:r>
              <w:rPr>
                <w:rStyle w:val="308"/>
                <w:lang w:val="en-US" w:eastAsia="zh-CN" w:bidi="ar"/>
              </w:rPr>
              <w:br w:type="textWrapping"/>
            </w:r>
            <w:r>
              <w:rPr>
                <w:rStyle w:val="308"/>
                <w:color w:val="FF0000"/>
                <w:highlight w:val="yellow"/>
                <w:lang w:val="en-US" w:eastAsia="zh-CN" w:bidi="ar"/>
              </w:rPr>
              <w:t>5.</w:t>
            </w:r>
            <w:r>
              <w:rPr>
                <w:rStyle w:val="314"/>
                <w:color w:val="FF0000"/>
                <w:highlight w:val="yellow"/>
                <w:lang w:val="en-US" w:eastAsia="zh-CN" w:bidi="ar"/>
              </w:rPr>
              <w:t>产品应具备防病毒功能，支持对HTTP/SMTP/POP3/FTP/IMAP等协议进行病毒防御。</w:t>
            </w:r>
            <w:r>
              <w:rPr>
                <w:rStyle w:val="308"/>
                <w:lang w:val="en-US" w:eastAsia="zh-CN" w:bidi="ar"/>
              </w:rPr>
              <w:br w:type="textWrapping"/>
            </w:r>
            <w:r>
              <w:rPr>
                <w:rStyle w:val="308"/>
                <w:color w:val="FF0000"/>
                <w:highlight w:val="yellow"/>
                <w:lang w:val="en-US" w:eastAsia="zh-CN" w:bidi="ar"/>
              </w:rPr>
              <w:t>6.</w:t>
            </w:r>
            <w:r>
              <w:rPr>
                <w:rStyle w:val="314"/>
                <w:color w:val="FF0000"/>
                <w:highlight w:val="yellow"/>
                <w:lang w:val="en-US" w:eastAsia="zh-CN" w:bidi="ar"/>
              </w:rPr>
              <w:t>支持对HTTP/SMTP/POP3/FTP/IMAP等协议进行恶意文件防护功能</w:t>
            </w:r>
            <w:r>
              <w:rPr>
                <w:rStyle w:val="308"/>
                <w:color w:val="FF0000"/>
                <w:highlight w:val="yellow"/>
                <w:lang w:val="en-US" w:eastAsia="zh-CN" w:bidi="ar"/>
              </w:rPr>
              <w:t>。</w:t>
            </w:r>
            <w:r>
              <w:rPr>
                <w:rStyle w:val="308"/>
                <w:lang w:val="en-US" w:eastAsia="zh-CN" w:bidi="ar"/>
              </w:rPr>
              <w:br w:type="textWrapping"/>
            </w:r>
            <w:r>
              <w:rPr>
                <w:rStyle w:val="308"/>
                <w:color w:val="FF0000"/>
                <w:highlight w:val="yellow"/>
                <w:lang w:val="en-US" w:eastAsia="zh-CN" w:bidi="ar"/>
              </w:rPr>
              <w:t>7.产品内置WEB应用攻击特征，支持对跨站脚本（XSS）攻击、SQL注入、文件包含攻击、信息泄露攻击、WEBSHELL、网站扫描、网页木马等攻击类型进行防护。</w:t>
            </w:r>
            <w:r>
              <w:rPr>
                <w:rStyle w:val="308"/>
                <w:lang w:val="en-US" w:eastAsia="zh-CN" w:bidi="ar"/>
              </w:rPr>
              <w:br w:type="textWrapping"/>
            </w:r>
            <w:r>
              <w:rPr>
                <w:rStyle w:val="308"/>
                <w:color w:val="FF0000"/>
                <w:highlight w:val="yellow"/>
                <w:lang w:val="en-US" w:eastAsia="zh-CN" w:bidi="ar"/>
              </w:rPr>
              <w:t>8.产品支持口令防暴力破解，支持TELNET、POP3、SMTP、SSH等协议的，频繁登录失败操作，进行针对频率的阈值检查，判定为攻击后，对异常登录动作进行阻断。</w:t>
            </w:r>
            <w:r>
              <w:rPr>
                <w:rStyle w:val="308"/>
                <w:lang w:val="en-US" w:eastAsia="zh-CN" w:bidi="ar"/>
              </w:rPr>
              <w:br w:type="textWrapping"/>
            </w:r>
            <w:r>
              <w:rPr>
                <w:rStyle w:val="308"/>
                <w:color w:val="FF0000"/>
                <w:highlight w:val="yellow"/>
                <w:lang w:val="en-US" w:eastAsia="zh-CN" w:bidi="ar"/>
              </w:rPr>
              <w:t>9.产品支持Cookie攻击防护功能，</w:t>
            </w:r>
            <w:r>
              <w:rPr>
                <w:rStyle w:val="314"/>
                <w:color w:val="FF0000"/>
                <w:highlight w:val="yellow"/>
                <w:lang w:val="en-US" w:eastAsia="zh-CN" w:bidi="ar"/>
              </w:rPr>
              <w:t>支持对HTTP的合规性检查</w:t>
            </w:r>
            <w:r>
              <w:rPr>
                <w:rStyle w:val="308"/>
                <w:color w:val="FF0000"/>
                <w:highlight w:val="yellow"/>
                <w:lang w:val="en-US" w:eastAsia="zh-CN" w:bidi="ar"/>
              </w:rPr>
              <w:t>。</w:t>
            </w:r>
            <w:r>
              <w:rPr>
                <w:rStyle w:val="308"/>
                <w:lang w:val="en-US" w:eastAsia="zh-CN" w:bidi="ar"/>
              </w:rPr>
              <w:br w:type="textWrapping"/>
            </w:r>
            <w:r>
              <w:rPr>
                <w:rStyle w:val="308"/>
                <w:lang w:val="en-US" w:eastAsia="zh-CN" w:bidi="ar"/>
              </w:rPr>
              <w:t>10.提供三年产品质保、软件升级、特征库升级。</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82D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14E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4D8C6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3DA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67EC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展示大屏</w:t>
            </w:r>
          </w:p>
        </w:tc>
        <w:tc>
          <w:tcPr>
            <w:tcW w:w="3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16A8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≥85寸双系统会议机(含移动支架)、黑色、卓策982主板4+32,I5/4代4+1280PS1300万摄像头，8阵列麦克、前置。</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EDE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2EA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5B60A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C3E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BAE7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展示大屏</w:t>
            </w:r>
          </w:p>
        </w:tc>
        <w:tc>
          <w:tcPr>
            <w:tcW w:w="3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3F2A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≥98寸双系统会议机、(含移动支架)、机黑色、卓策982主板4+32,I5/4代4+128OPS1300万摄像头，8阵列麦克、前置。</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9B5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313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683A3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B5F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1A0E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展示大屏</w:t>
            </w:r>
          </w:p>
        </w:tc>
        <w:tc>
          <w:tcPr>
            <w:tcW w:w="3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C29D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≥110寸双系统会议机(含移动支架)、黑色、卓策982主板4+32,I5/4代4+1280PS1300万摄像头，8阵列麦克、前置。</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8A1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D7F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44E4A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9A4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9EBA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协同门诊话筒摄像头音响</w:t>
            </w:r>
          </w:p>
        </w:tc>
        <w:tc>
          <w:tcPr>
            <w:tcW w:w="3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F39AAC">
            <w:pPr>
              <w:keepNext w:val="0"/>
              <w:keepLines w:val="0"/>
              <w:widowControl/>
              <w:numPr>
                <w:ilvl w:val="0"/>
                <w:numId w:val="53"/>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柜员机采用物理式按压按键，一体式高性能会议话筒。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2.双向对讲：支持窗口内外双向对讲。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一键静音、录音输出。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4.音量调节：支持单独开关窗口内外声音，音量 大小可调节。</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7DC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EA3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1EF136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9F9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390E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光模块</w:t>
            </w:r>
          </w:p>
        </w:tc>
        <w:tc>
          <w:tcPr>
            <w:tcW w:w="3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46F7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千兆单模</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489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192</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9FC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14:paraId="51F98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135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B0AA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SSL-VPN</w:t>
            </w:r>
          </w:p>
        </w:tc>
        <w:tc>
          <w:tcPr>
            <w:tcW w:w="3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1C61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授权≥200个</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049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33B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340FC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84"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9E7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2B1F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数据备份一体机</w:t>
            </w:r>
          </w:p>
        </w:tc>
        <w:tc>
          <w:tcPr>
            <w:tcW w:w="3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57DF6">
            <w:pPr>
              <w:keepNext w:val="0"/>
              <w:keepLines w:val="0"/>
              <w:widowControl/>
              <w:suppressLineNumbers w:val="0"/>
              <w:jc w:val="left"/>
              <w:textAlignment w:val="center"/>
              <w:rPr>
                <w:rFonts w:hint="eastAsia" w:ascii="宋体" w:hAnsi="宋体" w:eastAsia="宋体" w:cs="宋体"/>
                <w:i w:val="0"/>
                <w:iCs w:val="0"/>
                <w:color w:val="00B050"/>
                <w:sz w:val="22"/>
                <w:szCs w:val="22"/>
                <w:u w:val="none"/>
              </w:rPr>
            </w:pPr>
            <w:r>
              <w:rPr>
                <w:rFonts w:hint="eastAsia" w:ascii="宋体" w:hAnsi="宋体" w:eastAsia="宋体" w:cs="宋体"/>
                <w:i w:val="0"/>
                <w:iCs w:val="0"/>
                <w:color w:val="FF0000"/>
                <w:kern w:val="0"/>
                <w:sz w:val="22"/>
                <w:szCs w:val="22"/>
                <w:highlight w:val="yellow"/>
                <w:u w:val="none"/>
                <w:lang w:val="en-US" w:eastAsia="zh-CN" w:bidi="ar"/>
              </w:rPr>
              <w:t>CPU：数量≥ 2、物理核数≥ 16C;</w:t>
            </w:r>
            <w:r>
              <w:rPr>
                <w:rFonts w:hint="eastAsia" w:ascii="宋体" w:hAnsi="宋体" w:eastAsia="宋体" w:cs="宋体"/>
                <w:i w:val="0"/>
                <w:iCs w:val="0"/>
                <w:color w:val="FF0000"/>
                <w:kern w:val="0"/>
                <w:sz w:val="22"/>
                <w:szCs w:val="22"/>
                <w:highlight w:val="yellow"/>
                <w:u w:val="none"/>
                <w:lang w:val="en-US" w:eastAsia="zh-CN" w:bidi="ar"/>
              </w:rPr>
              <w:br w:type="textWrapping"/>
            </w:r>
            <w:r>
              <w:rPr>
                <w:rFonts w:hint="eastAsia" w:ascii="宋体" w:hAnsi="宋体" w:eastAsia="宋体" w:cs="宋体"/>
                <w:i w:val="0"/>
                <w:iCs w:val="0"/>
                <w:color w:val="FF0000"/>
                <w:kern w:val="0"/>
                <w:sz w:val="22"/>
                <w:szCs w:val="22"/>
                <w:highlight w:val="yellow"/>
                <w:u w:val="none"/>
                <w:lang w:val="en-US" w:eastAsia="zh-CN" w:bidi="ar"/>
              </w:rPr>
              <w:t>内存：数量≥ 4、容量≥32GB;</w:t>
            </w:r>
            <w:r>
              <w:rPr>
                <w:rFonts w:hint="eastAsia" w:ascii="宋体" w:hAnsi="宋体" w:eastAsia="宋体" w:cs="宋体"/>
                <w:i w:val="0"/>
                <w:iCs w:val="0"/>
                <w:color w:val="FF0000"/>
                <w:kern w:val="0"/>
                <w:sz w:val="22"/>
                <w:szCs w:val="22"/>
                <w:highlight w:val="yellow"/>
                <w:u w:val="none"/>
                <w:lang w:val="en-US" w:eastAsia="zh-CN" w:bidi="ar"/>
              </w:rPr>
              <w:br w:type="textWrapping"/>
            </w:r>
            <w:r>
              <w:rPr>
                <w:rFonts w:hint="eastAsia" w:ascii="宋体" w:hAnsi="宋体" w:eastAsia="宋体" w:cs="宋体"/>
                <w:i w:val="0"/>
                <w:iCs w:val="0"/>
                <w:color w:val="FF0000"/>
                <w:kern w:val="0"/>
                <w:sz w:val="22"/>
                <w:szCs w:val="22"/>
                <w:highlight w:val="yellow"/>
                <w:u w:val="none"/>
                <w:lang w:val="en-US" w:eastAsia="zh-CN" w:bidi="ar"/>
              </w:rPr>
              <w:t>硬盘：数量 ≥6、类型SATA、转速 7.2K、 容量≥8TB（含授权）;数量 ≥2、类型 SSD-SATA、容量≥ 960GB;</w:t>
            </w:r>
            <w:r>
              <w:rPr>
                <w:rFonts w:hint="eastAsia" w:ascii="宋体" w:hAnsi="宋体" w:eastAsia="宋体" w:cs="宋体"/>
                <w:i w:val="0"/>
                <w:iCs w:val="0"/>
                <w:color w:val="FF0000"/>
                <w:kern w:val="0"/>
                <w:sz w:val="22"/>
                <w:szCs w:val="22"/>
                <w:highlight w:val="yellow"/>
                <w:u w:val="none"/>
                <w:lang w:val="en-US" w:eastAsia="zh-CN" w:bidi="ar"/>
              </w:rPr>
              <w:br w:type="textWrapping"/>
            </w:r>
            <w:r>
              <w:rPr>
                <w:rFonts w:hint="eastAsia" w:ascii="宋体" w:hAnsi="宋体" w:eastAsia="宋体" w:cs="宋体"/>
                <w:i w:val="0"/>
                <w:iCs w:val="0"/>
                <w:color w:val="FF0000"/>
                <w:kern w:val="0"/>
                <w:sz w:val="22"/>
                <w:szCs w:val="22"/>
                <w:highlight w:val="yellow"/>
                <w:u w:val="none"/>
                <w:lang w:val="en-US" w:eastAsia="zh-CN" w:bidi="ar"/>
              </w:rPr>
              <w:t>Raid 卡：数量≥ 1、缓存≥ 2GB、Raid 级别  RAID 0,RAID 1,RAID 5,RAID 6,RAID 10;</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39D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03B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798F42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36"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ED7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40F8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网络安全服务包含配套设备外网网络入口攻击防护服务平台</w:t>
            </w:r>
          </w:p>
        </w:tc>
        <w:tc>
          <w:tcPr>
            <w:tcW w:w="3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78A6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309"/>
                <w:color w:val="FF0000"/>
                <w:highlight w:val="yellow"/>
                <w:lang w:val="en-US" w:eastAsia="zh-CN" w:bidi="ar"/>
              </w:rPr>
              <w:t>1.硬件参数：内存大小</w:t>
            </w:r>
            <w:r>
              <w:rPr>
                <w:rFonts w:hint="eastAsia" w:ascii="宋体" w:hAnsi="宋体" w:eastAsia="宋体" w:cs="宋体"/>
                <w:i w:val="0"/>
                <w:iCs w:val="0"/>
                <w:color w:val="FF0000"/>
                <w:kern w:val="0"/>
                <w:sz w:val="22"/>
                <w:szCs w:val="22"/>
                <w:highlight w:val="yellow"/>
                <w:u w:val="none"/>
                <w:lang w:val="en-US" w:eastAsia="zh-CN" w:bidi="ar"/>
              </w:rPr>
              <w:t>≥</w:t>
            </w:r>
            <w:r>
              <w:rPr>
                <w:rStyle w:val="309"/>
                <w:color w:val="FF0000"/>
                <w:highlight w:val="yellow"/>
                <w:lang w:val="en-US" w:eastAsia="zh-CN" w:bidi="ar"/>
              </w:rPr>
              <w:t>8G,硬盘容量</w:t>
            </w:r>
            <w:r>
              <w:rPr>
                <w:rFonts w:hint="eastAsia" w:ascii="宋体" w:hAnsi="宋体" w:eastAsia="宋体" w:cs="宋体"/>
                <w:i w:val="0"/>
                <w:iCs w:val="0"/>
                <w:color w:val="FF0000"/>
                <w:kern w:val="0"/>
                <w:sz w:val="22"/>
                <w:szCs w:val="22"/>
                <w:highlight w:val="yellow"/>
                <w:u w:val="none"/>
                <w:lang w:val="en-US" w:eastAsia="zh-CN" w:bidi="ar"/>
              </w:rPr>
              <w:t>≥</w:t>
            </w:r>
            <w:r>
              <w:rPr>
                <w:rStyle w:val="309"/>
                <w:color w:val="FF0000"/>
                <w:highlight w:val="yellow"/>
                <w:lang w:val="en-US" w:eastAsia="zh-CN" w:bidi="ar"/>
              </w:rPr>
              <w:t>128GSSD,千兆电口接口</w:t>
            </w:r>
            <w:r>
              <w:rPr>
                <w:rFonts w:hint="eastAsia" w:ascii="宋体" w:hAnsi="宋体" w:eastAsia="宋体" w:cs="宋体"/>
                <w:i w:val="0"/>
                <w:iCs w:val="0"/>
                <w:color w:val="FF0000"/>
                <w:kern w:val="0"/>
                <w:sz w:val="22"/>
                <w:szCs w:val="22"/>
                <w:highlight w:val="yellow"/>
                <w:u w:val="none"/>
                <w:lang w:val="en-US" w:eastAsia="zh-CN" w:bidi="ar"/>
              </w:rPr>
              <w:t>≥</w:t>
            </w:r>
            <w:r>
              <w:rPr>
                <w:rStyle w:val="314"/>
                <w:rFonts w:hint="eastAsia"/>
                <w:color w:val="FF0000"/>
                <w:highlight w:val="yellow"/>
                <w:lang w:val="en-US" w:eastAsia="zh-CN" w:bidi="ar"/>
              </w:rPr>
              <w:t>8</w:t>
            </w:r>
            <w:r>
              <w:rPr>
                <w:rStyle w:val="308"/>
                <w:color w:val="FF0000"/>
                <w:highlight w:val="yellow"/>
                <w:lang w:val="en-US" w:eastAsia="zh-CN" w:bidi="ar"/>
              </w:rPr>
              <w:t>,</w:t>
            </w:r>
            <w:r>
              <w:rPr>
                <w:rStyle w:val="308"/>
                <w:rFonts w:hint="eastAsia"/>
                <w:color w:val="FF0000"/>
                <w:highlight w:val="yellow"/>
                <w:lang w:val="en-US" w:eastAsia="zh-CN" w:bidi="ar"/>
              </w:rPr>
              <w:t>万</w:t>
            </w:r>
            <w:r>
              <w:rPr>
                <w:rStyle w:val="310"/>
                <w:color w:val="FF0000"/>
                <w:highlight w:val="yellow"/>
                <w:lang w:val="en-US" w:eastAsia="zh-CN" w:bidi="ar"/>
              </w:rPr>
              <w:t>兆光口</w:t>
            </w:r>
            <w:r>
              <w:rPr>
                <w:rFonts w:hint="eastAsia" w:ascii="宋体" w:hAnsi="宋体" w:eastAsia="宋体" w:cs="宋体"/>
                <w:i w:val="0"/>
                <w:iCs w:val="0"/>
                <w:color w:val="FF0000"/>
                <w:kern w:val="0"/>
                <w:sz w:val="22"/>
                <w:szCs w:val="22"/>
                <w:highlight w:val="yellow"/>
                <w:u w:val="none"/>
                <w:lang w:val="en-US" w:eastAsia="zh-CN" w:bidi="ar"/>
              </w:rPr>
              <w:t>≥</w:t>
            </w:r>
            <w:r>
              <w:rPr>
                <w:rStyle w:val="310"/>
                <w:rFonts w:hint="eastAsia"/>
                <w:color w:val="FF0000"/>
                <w:highlight w:val="yellow"/>
                <w:lang w:val="en-US" w:eastAsia="zh-CN" w:bidi="ar"/>
              </w:rPr>
              <w:t>2,</w:t>
            </w:r>
            <w:r>
              <w:rPr>
                <w:rStyle w:val="308"/>
                <w:color w:val="FF0000"/>
                <w:highlight w:val="yellow"/>
                <w:lang w:val="en-US" w:eastAsia="zh-CN" w:bidi="ar"/>
              </w:rPr>
              <w:br w:type="textWrapping"/>
            </w:r>
            <w:r>
              <w:rPr>
                <w:rStyle w:val="308"/>
                <w:color w:val="FF0000"/>
                <w:highlight w:val="yellow"/>
                <w:lang w:val="en-US" w:eastAsia="zh-CN" w:bidi="ar"/>
              </w:rPr>
              <w:t>2.网络层吞吐量</w:t>
            </w:r>
            <w:r>
              <w:rPr>
                <w:rFonts w:hint="eastAsia" w:ascii="宋体" w:hAnsi="宋体" w:eastAsia="宋体" w:cs="宋体"/>
                <w:i w:val="0"/>
                <w:iCs w:val="0"/>
                <w:color w:val="FF0000"/>
                <w:kern w:val="0"/>
                <w:sz w:val="22"/>
                <w:szCs w:val="22"/>
                <w:highlight w:val="yellow"/>
                <w:u w:val="none"/>
                <w:lang w:val="en-US" w:eastAsia="zh-CN" w:bidi="ar"/>
              </w:rPr>
              <w:t>≥</w:t>
            </w:r>
            <w:r>
              <w:rPr>
                <w:rStyle w:val="308"/>
                <w:color w:val="FF0000"/>
                <w:highlight w:val="yellow"/>
                <w:lang w:val="en-US" w:eastAsia="zh-CN" w:bidi="ar"/>
              </w:rPr>
              <w:t>20G,应用层吞吐量</w:t>
            </w:r>
            <w:r>
              <w:rPr>
                <w:rFonts w:hint="eastAsia" w:ascii="宋体" w:hAnsi="宋体" w:eastAsia="宋体" w:cs="宋体"/>
                <w:i w:val="0"/>
                <w:iCs w:val="0"/>
                <w:color w:val="FF0000"/>
                <w:kern w:val="0"/>
                <w:sz w:val="22"/>
                <w:szCs w:val="22"/>
                <w:highlight w:val="yellow"/>
                <w:u w:val="none"/>
                <w:lang w:val="en-US" w:eastAsia="zh-CN" w:bidi="ar"/>
              </w:rPr>
              <w:t>≥</w:t>
            </w:r>
            <w:r>
              <w:rPr>
                <w:rStyle w:val="308"/>
                <w:color w:val="FF0000"/>
                <w:highlight w:val="yellow"/>
                <w:lang w:val="en-US" w:eastAsia="zh-CN" w:bidi="ar"/>
              </w:rPr>
              <w:t>9G,防病毒吞吐量</w:t>
            </w:r>
            <w:r>
              <w:rPr>
                <w:rFonts w:hint="eastAsia" w:ascii="宋体" w:hAnsi="宋体" w:eastAsia="宋体" w:cs="宋体"/>
                <w:i w:val="0"/>
                <w:iCs w:val="0"/>
                <w:color w:val="FF0000"/>
                <w:kern w:val="0"/>
                <w:sz w:val="22"/>
                <w:szCs w:val="22"/>
                <w:highlight w:val="yellow"/>
                <w:u w:val="none"/>
                <w:lang w:val="en-US" w:eastAsia="zh-CN" w:bidi="ar"/>
              </w:rPr>
              <w:t>≥</w:t>
            </w:r>
            <w:r>
              <w:rPr>
                <w:rStyle w:val="308"/>
                <w:color w:val="FF0000"/>
                <w:highlight w:val="yellow"/>
                <w:lang w:val="en-US" w:eastAsia="zh-CN" w:bidi="ar"/>
              </w:rPr>
              <w:t>1.5G,IPS吞吐量</w:t>
            </w:r>
            <w:r>
              <w:rPr>
                <w:rFonts w:hint="eastAsia" w:ascii="宋体" w:hAnsi="宋体" w:eastAsia="宋体" w:cs="宋体"/>
                <w:i w:val="0"/>
                <w:iCs w:val="0"/>
                <w:color w:val="FF0000"/>
                <w:kern w:val="0"/>
                <w:sz w:val="22"/>
                <w:szCs w:val="22"/>
                <w:highlight w:val="yellow"/>
                <w:u w:val="none"/>
                <w:lang w:val="en-US" w:eastAsia="zh-CN" w:bidi="ar"/>
              </w:rPr>
              <w:t>≥</w:t>
            </w:r>
            <w:r>
              <w:rPr>
                <w:rStyle w:val="308"/>
                <w:color w:val="FF0000"/>
                <w:highlight w:val="yellow"/>
                <w:lang w:val="en-US" w:eastAsia="zh-CN" w:bidi="ar"/>
              </w:rPr>
              <w:t>1.3G,全威胁吞吐量</w:t>
            </w:r>
            <w:r>
              <w:rPr>
                <w:rFonts w:hint="eastAsia" w:ascii="宋体" w:hAnsi="宋体" w:eastAsia="宋体" w:cs="宋体"/>
                <w:i w:val="0"/>
                <w:iCs w:val="0"/>
                <w:color w:val="FF0000"/>
                <w:kern w:val="0"/>
                <w:sz w:val="22"/>
                <w:szCs w:val="22"/>
                <w:highlight w:val="yellow"/>
                <w:u w:val="none"/>
                <w:lang w:val="en-US" w:eastAsia="zh-CN" w:bidi="ar"/>
              </w:rPr>
              <w:t>≥</w:t>
            </w:r>
            <w:r>
              <w:rPr>
                <w:rStyle w:val="308"/>
                <w:color w:val="FF0000"/>
                <w:highlight w:val="yellow"/>
                <w:lang w:val="en-US" w:eastAsia="zh-CN" w:bidi="ar"/>
              </w:rPr>
              <w:t>1G,并发连接数</w:t>
            </w:r>
            <w:r>
              <w:rPr>
                <w:rFonts w:hint="eastAsia" w:ascii="宋体" w:hAnsi="宋体" w:eastAsia="宋体" w:cs="宋体"/>
                <w:i w:val="0"/>
                <w:iCs w:val="0"/>
                <w:color w:val="FF0000"/>
                <w:kern w:val="0"/>
                <w:sz w:val="22"/>
                <w:szCs w:val="22"/>
                <w:highlight w:val="yellow"/>
                <w:u w:val="none"/>
                <w:lang w:val="en-US" w:eastAsia="zh-CN" w:bidi="ar"/>
              </w:rPr>
              <w:t>≥</w:t>
            </w:r>
            <w:r>
              <w:rPr>
                <w:rStyle w:val="308"/>
                <w:color w:val="FF0000"/>
                <w:highlight w:val="yellow"/>
                <w:lang w:val="en-US" w:eastAsia="zh-CN" w:bidi="ar"/>
              </w:rPr>
              <w:t>200万，HTTP新建连接数</w:t>
            </w:r>
            <w:r>
              <w:rPr>
                <w:rFonts w:hint="eastAsia" w:ascii="宋体" w:hAnsi="宋体" w:eastAsia="宋体" w:cs="宋体"/>
                <w:i w:val="0"/>
                <w:iCs w:val="0"/>
                <w:color w:val="FF0000"/>
                <w:kern w:val="0"/>
                <w:sz w:val="22"/>
                <w:szCs w:val="22"/>
                <w:highlight w:val="yellow"/>
                <w:u w:val="none"/>
                <w:lang w:val="en-US" w:eastAsia="zh-CN" w:bidi="ar"/>
              </w:rPr>
              <w:t>≥</w:t>
            </w:r>
            <w:r>
              <w:rPr>
                <w:rStyle w:val="308"/>
                <w:color w:val="FF0000"/>
                <w:highlight w:val="yellow"/>
                <w:lang w:val="en-US" w:eastAsia="zh-CN" w:bidi="ar"/>
              </w:rPr>
              <w:t>9万，IPSecVPN最大接入数</w:t>
            </w:r>
            <w:r>
              <w:rPr>
                <w:rFonts w:hint="eastAsia" w:ascii="宋体" w:hAnsi="宋体" w:eastAsia="宋体" w:cs="宋体"/>
                <w:i w:val="0"/>
                <w:iCs w:val="0"/>
                <w:color w:val="FF0000"/>
                <w:kern w:val="0"/>
                <w:sz w:val="22"/>
                <w:szCs w:val="22"/>
                <w:highlight w:val="yellow"/>
                <w:u w:val="none"/>
                <w:lang w:val="en-US" w:eastAsia="zh-CN" w:bidi="ar"/>
              </w:rPr>
              <w:t>≥</w:t>
            </w:r>
            <w:r>
              <w:rPr>
                <w:rStyle w:val="308"/>
                <w:color w:val="FF0000"/>
                <w:highlight w:val="yellow"/>
                <w:lang w:val="en-US" w:eastAsia="zh-CN" w:bidi="ar"/>
              </w:rPr>
              <w:t>1000,IPSecVPN服务内容吞吐量</w:t>
            </w:r>
            <w:r>
              <w:rPr>
                <w:rFonts w:hint="eastAsia" w:ascii="宋体" w:hAnsi="宋体" w:eastAsia="宋体" w:cs="宋体"/>
                <w:i w:val="0"/>
                <w:iCs w:val="0"/>
                <w:color w:val="FF0000"/>
                <w:kern w:val="0"/>
                <w:sz w:val="22"/>
                <w:szCs w:val="22"/>
                <w:highlight w:val="yellow"/>
                <w:u w:val="none"/>
                <w:lang w:val="en-US" w:eastAsia="zh-CN" w:bidi="ar"/>
              </w:rPr>
              <w:t>≥</w:t>
            </w:r>
            <w:r>
              <w:rPr>
                <w:rStyle w:val="308"/>
                <w:color w:val="FF0000"/>
                <w:highlight w:val="yellow"/>
                <w:lang w:val="en-US" w:eastAsia="zh-CN" w:bidi="ar"/>
              </w:rPr>
              <w:t>700M。</w:t>
            </w:r>
            <w:r>
              <w:rPr>
                <w:rStyle w:val="308"/>
                <w:color w:val="00B050"/>
                <w:lang w:val="en-US" w:eastAsia="zh-CN" w:bidi="ar"/>
              </w:rPr>
              <w:br w:type="textWrapping"/>
            </w:r>
            <w:r>
              <w:rPr>
                <w:rStyle w:val="308"/>
                <w:color w:val="auto"/>
                <w:lang w:val="en-US" w:eastAsia="zh-CN" w:bidi="ar"/>
              </w:rPr>
              <w:t>3.产品支持静态路由、策略路由，并支持BGP、RIP、OSPF等动态路由协议。</w:t>
            </w:r>
            <w:r>
              <w:rPr>
                <w:rStyle w:val="308"/>
                <w:color w:val="auto"/>
                <w:lang w:val="en-US" w:eastAsia="zh-CN" w:bidi="ar"/>
              </w:rPr>
              <w:br w:type="textWrapping"/>
            </w:r>
            <w:r>
              <w:rPr>
                <w:rStyle w:val="314"/>
                <w:color w:val="auto"/>
                <w:lang w:val="en-US" w:eastAsia="zh-CN" w:bidi="ar"/>
              </w:rPr>
              <w:t>4.产品支持 IPSecVPN 功能，支持IKEV1、IKEV2、国密的加密类型，支持AES、DES、3DES、MD5、SHA-1、SM3等VPN加密、认证算法，支持对隧道内网络流量进行监控展示。</w:t>
            </w:r>
            <w:r>
              <w:rPr>
                <w:rStyle w:val="308"/>
                <w:color w:val="auto"/>
                <w:lang w:val="en-US" w:eastAsia="zh-CN" w:bidi="ar"/>
              </w:rPr>
              <w:br w:type="textWrapping"/>
            </w:r>
            <w:r>
              <w:rPr>
                <w:rStyle w:val="308"/>
                <w:color w:val="auto"/>
                <w:lang w:val="en-US" w:eastAsia="zh-CN" w:bidi="ar"/>
              </w:rPr>
              <w:t>5.产品支持对应用的识别和控制，应用类型包括游戏、购物、图书百科、工作招聘、P2P下载、聊天工具、旅游出行、股票软件等类型应用进行检测与控制。</w:t>
            </w:r>
            <w:r>
              <w:rPr>
                <w:rStyle w:val="308"/>
                <w:color w:val="auto"/>
                <w:lang w:val="en-US" w:eastAsia="zh-CN" w:bidi="ar"/>
              </w:rPr>
              <w:br w:type="textWrapping"/>
            </w:r>
            <w:r>
              <w:rPr>
                <w:rStyle w:val="308"/>
                <w:color w:val="auto"/>
                <w:lang w:val="en-US" w:eastAsia="zh-CN" w:bidi="ar"/>
              </w:rPr>
              <w:t>6.产品支持多条件的安全日志组合查询，查询条件包括但不限于日志类型、日志级别、生成时间。</w:t>
            </w:r>
            <w:r>
              <w:rPr>
                <w:rStyle w:val="308"/>
                <w:color w:val="auto"/>
                <w:lang w:val="en-US" w:eastAsia="zh-CN" w:bidi="ar"/>
              </w:rPr>
              <w:br w:type="textWrapping"/>
            </w:r>
            <w:r>
              <w:rPr>
                <w:rStyle w:val="308"/>
                <w:color w:val="auto"/>
                <w:lang w:val="en-US" w:eastAsia="zh-CN" w:bidi="ar"/>
              </w:rPr>
              <w:t>7.产品支持对压缩病毒文件进行检测和拦截。</w:t>
            </w:r>
            <w:r>
              <w:rPr>
                <w:rStyle w:val="308"/>
                <w:color w:val="auto"/>
                <w:lang w:val="en-US" w:eastAsia="zh-CN" w:bidi="ar"/>
              </w:rPr>
              <w:br w:type="textWrapping"/>
            </w:r>
            <w:r>
              <w:rPr>
                <w:rStyle w:val="308"/>
                <w:color w:val="auto"/>
                <w:lang w:val="en-US" w:eastAsia="zh-CN" w:bidi="ar"/>
              </w:rPr>
              <w:t>8.产品支持勒索病毒检测与防御功能，</w:t>
            </w:r>
            <w:r>
              <w:rPr>
                <w:rStyle w:val="314"/>
                <w:color w:val="auto"/>
                <w:lang w:val="en-US" w:eastAsia="zh-CN" w:bidi="ar"/>
              </w:rPr>
              <w:t>支持对HTTP/SMTP/POP3/FTP/IMAP等协议进行病毒防御。</w:t>
            </w:r>
            <w:r>
              <w:rPr>
                <w:rStyle w:val="308"/>
                <w:color w:val="auto"/>
                <w:lang w:val="en-US" w:eastAsia="zh-CN" w:bidi="ar"/>
              </w:rPr>
              <w:br w:type="textWrapping"/>
            </w:r>
            <w:r>
              <w:rPr>
                <w:rStyle w:val="308"/>
                <w:color w:val="auto"/>
                <w:lang w:val="en-US" w:eastAsia="zh-CN" w:bidi="ar"/>
              </w:rPr>
              <w:t>9.产品支持 Cookie 攻击防护功能，支持对HTTP的合规性检查。</w:t>
            </w:r>
            <w:r>
              <w:rPr>
                <w:rStyle w:val="308"/>
                <w:color w:val="auto"/>
                <w:lang w:val="en-US" w:eastAsia="zh-CN" w:bidi="ar"/>
              </w:rPr>
              <w:br w:type="textWrapping"/>
            </w:r>
            <w:r>
              <w:rPr>
                <w:rStyle w:val="308"/>
                <w:color w:val="auto"/>
                <w:lang w:val="en-US" w:eastAsia="zh-CN" w:bidi="ar"/>
              </w:rPr>
              <w:t>10.支持被动监测和主动扫描两种资产识别方式，可梳理离线资产、高危端口开放、冗余端口等安全风险；同时通过可视化直观地展示资产和资产之间的访问关系</w:t>
            </w:r>
            <w:r>
              <w:rPr>
                <w:rStyle w:val="308"/>
                <w:color w:val="auto"/>
                <w:lang w:val="en-US" w:eastAsia="zh-CN" w:bidi="ar"/>
              </w:rPr>
              <w:br w:type="textWrapping"/>
            </w:r>
            <w:r>
              <w:rPr>
                <w:rStyle w:val="308"/>
                <w:color w:val="auto"/>
                <w:lang w:val="en-US" w:eastAsia="zh-CN" w:bidi="ar"/>
              </w:rPr>
              <w:t>11.产品支持用户账号全生命周期保护功能，</w:t>
            </w:r>
            <w:r>
              <w:rPr>
                <w:rStyle w:val="314"/>
                <w:color w:val="auto"/>
                <w:lang w:val="en-US" w:eastAsia="zh-CN" w:bidi="ar"/>
              </w:rPr>
              <w:t>包括防暴力破解、密码复杂度、密码有效性设置，如认证失败次数及锁定时间、密码格式、密码长度、首次登陆修改密码、密码定期修改、密码有效时间等设置。</w:t>
            </w:r>
            <w:r>
              <w:rPr>
                <w:rStyle w:val="308"/>
                <w:color w:val="auto"/>
                <w:lang w:val="en-US" w:eastAsia="zh-CN" w:bidi="ar"/>
              </w:rPr>
              <w:br w:type="textWrapping"/>
            </w:r>
            <w:r>
              <w:rPr>
                <w:rStyle w:val="308"/>
                <w:color w:val="auto"/>
                <w:lang w:val="en-US" w:eastAsia="zh-CN" w:bidi="ar"/>
              </w:rPr>
              <w:t>12.产品支持https解密功能，支持TCP代理和SSL代理。</w:t>
            </w:r>
            <w:r>
              <w:rPr>
                <w:rStyle w:val="308"/>
                <w:color w:val="auto"/>
                <w:lang w:val="en-US" w:eastAsia="zh-CN" w:bidi="ar"/>
              </w:rPr>
              <w:br w:type="textWrapping"/>
            </w:r>
            <w:r>
              <w:rPr>
                <w:rStyle w:val="308"/>
                <w:color w:val="auto"/>
                <w:lang w:val="en-US" w:eastAsia="zh-CN" w:bidi="ar"/>
              </w:rPr>
              <w:t>13.支持带外管理，保障管理网络和业务网络相互隔离。</w:t>
            </w:r>
            <w:r>
              <w:rPr>
                <w:rStyle w:val="308"/>
                <w:color w:val="auto"/>
                <w:lang w:val="en-US" w:eastAsia="zh-CN" w:bidi="ar"/>
              </w:rPr>
              <w:br w:type="textWrapping"/>
            </w:r>
            <w:r>
              <w:rPr>
                <w:rStyle w:val="308"/>
                <w:color w:val="auto"/>
                <w:lang w:val="en-US" w:eastAsia="zh-CN" w:bidi="ar"/>
              </w:rPr>
              <w:t>14.软件升级：3年</w:t>
            </w:r>
            <w:r>
              <w:rPr>
                <w:rStyle w:val="308"/>
                <w:color w:val="auto"/>
                <w:lang w:val="en-US" w:eastAsia="zh-CN" w:bidi="ar"/>
              </w:rPr>
              <w:br w:type="textWrapping"/>
            </w:r>
            <w:r>
              <w:rPr>
                <w:rStyle w:val="308"/>
                <w:color w:val="auto"/>
                <w:lang w:val="en-US" w:eastAsia="zh-CN" w:bidi="ar"/>
              </w:rPr>
              <w:t>15.授权IPS、AV特征库升级：3年</w:t>
            </w:r>
            <w:r>
              <w:rPr>
                <w:rStyle w:val="308"/>
                <w:color w:val="auto"/>
                <w:lang w:val="en-US" w:eastAsia="zh-CN" w:bidi="ar"/>
              </w:rPr>
              <w:br w:type="textWrapping"/>
            </w:r>
            <w:r>
              <w:rPr>
                <w:rStyle w:val="308"/>
                <w:color w:val="auto"/>
                <w:lang w:val="en-US" w:eastAsia="zh-CN" w:bidi="ar"/>
              </w:rPr>
              <w:t>16.产品质保：3年</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274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B15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357AA1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4"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933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A046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内网网络边界攻击防护服务平台</w:t>
            </w:r>
          </w:p>
        </w:tc>
        <w:tc>
          <w:tcPr>
            <w:tcW w:w="3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1766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309"/>
                <w:color w:val="FF0000"/>
                <w:highlight w:val="yellow"/>
                <w:lang w:val="en-US" w:eastAsia="zh-CN" w:bidi="ar"/>
              </w:rPr>
              <w:t>1.冗余电源。</w:t>
            </w:r>
            <w:r>
              <w:rPr>
                <w:rStyle w:val="309"/>
                <w:color w:val="auto"/>
                <w:lang w:val="en-US" w:eastAsia="zh-CN" w:bidi="ar"/>
              </w:rPr>
              <w:br w:type="textWrapping"/>
            </w:r>
            <w:r>
              <w:rPr>
                <w:rStyle w:val="314"/>
                <w:color w:val="FF0000"/>
                <w:highlight w:val="yellow"/>
                <w:lang w:val="en-US" w:eastAsia="zh-CN" w:bidi="ar"/>
              </w:rPr>
              <w:t>2.性能要求应用层吞吐量≥</w:t>
            </w:r>
            <w:r>
              <w:rPr>
                <w:rStyle w:val="314"/>
                <w:rFonts w:hint="eastAsia"/>
                <w:color w:val="FF0000"/>
                <w:highlight w:val="yellow"/>
                <w:lang w:val="en-US" w:eastAsia="zh-CN" w:bidi="ar"/>
              </w:rPr>
              <w:t>2</w:t>
            </w:r>
            <w:r>
              <w:rPr>
                <w:rStyle w:val="314"/>
                <w:color w:val="FF0000"/>
                <w:highlight w:val="yellow"/>
                <w:lang w:val="en-US" w:eastAsia="zh-CN" w:bidi="ar"/>
              </w:rPr>
              <w:t>0Gbps,最大并发连接数≥</w:t>
            </w:r>
            <w:r>
              <w:rPr>
                <w:rStyle w:val="314"/>
                <w:rFonts w:hint="eastAsia"/>
                <w:color w:val="FF0000"/>
                <w:highlight w:val="yellow"/>
                <w:lang w:val="en-US" w:eastAsia="zh-CN" w:bidi="ar"/>
              </w:rPr>
              <w:t>500</w:t>
            </w:r>
            <w:r>
              <w:rPr>
                <w:rStyle w:val="314"/>
                <w:color w:val="FF0000"/>
                <w:highlight w:val="yellow"/>
                <w:lang w:val="en-US" w:eastAsia="zh-CN" w:bidi="ar"/>
              </w:rPr>
              <w:t xml:space="preserve"> 万，每秒新建连接数≥</w:t>
            </w:r>
            <w:r>
              <w:rPr>
                <w:rStyle w:val="314"/>
                <w:rFonts w:hint="eastAsia"/>
                <w:color w:val="FF0000"/>
                <w:highlight w:val="yellow"/>
                <w:lang w:val="en-US" w:eastAsia="zh-CN" w:bidi="ar"/>
              </w:rPr>
              <w:t>15</w:t>
            </w:r>
            <w:r>
              <w:rPr>
                <w:rStyle w:val="314"/>
                <w:color w:val="FF0000"/>
                <w:highlight w:val="yellow"/>
                <w:lang w:val="en-US" w:eastAsia="zh-CN" w:bidi="ar"/>
              </w:rPr>
              <w:t>万/秒。IPSecVPN 隧道数不少于</w:t>
            </w:r>
            <w:r>
              <w:rPr>
                <w:rStyle w:val="314"/>
                <w:rFonts w:hint="eastAsia"/>
                <w:color w:val="FF0000"/>
                <w:highlight w:val="yellow"/>
                <w:lang w:val="en-US" w:eastAsia="zh-CN" w:bidi="ar"/>
              </w:rPr>
              <w:t>4000</w:t>
            </w:r>
            <w:r>
              <w:rPr>
                <w:rStyle w:val="314"/>
                <w:color w:val="FF0000"/>
                <w:highlight w:val="yellow"/>
                <w:lang w:val="en-US" w:eastAsia="zh-CN" w:bidi="ar"/>
              </w:rPr>
              <w:t>。</w:t>
            </w:r>
            <w:r>
              <w:rPr>
                <w:rStyle w:val="314"/>
                <w:color w:val="auto"/>
                <w:lang w:val="en-US" w:eastAsia="zh-CN" w:bidi="ar"/>
              </w:rPr>
              <w:br w:type="textWrapping"/>
            </w:r>
            <w:r>
              <w:rPr>
                <w:rStyle w:val="314"/>
                <w:color w:val="FF0000"/>
                <w:highlight w:val="yellow"/>
                <w:lang w:val="en-US" w:eastAsia="zh-CN" w:bidi="ar"/>
              </w:rPr>
              <w:t xml:space="preserve">3.接口要求：≥ </w:t>
            </w:r>
            <w:r>
              <w:rPr>
                <w:rStyle w:val="314"/>
                <w:rFonts w:hint="eastAsia"/>
                <w:color w:val="FF0000"/>
                <w:highlight w:val="yellow"/>
                <w:lang w:val="en-US" w:eastAsia="zh-CN" w:bidi="ar"/>
              </w:rPr>
              <w:t>16</w:t>
            </w:r>
            <w:r>
              <w:rPr>
                <w:rStyle w:val="314"/>
                <w:color w:val="FF0000"/>
                <w:highlight w:val="yellow"/>
                <w:lang w:val="en-US" w:eastAsia="zh-CN" w:bidi="ar"/>
              </w:rPr>
              <w:t xml:space="preserve"> 个千兆电口，≥4 千兆光口，≥4 个万兆光口， ≥1 个 Console 口。</w:t>
            </w:r>
            <w:r>
              <w:rPr>
                <w:rStyle w:val="308"/>
                <w:color w:val="00B050"/>
                <w:lang w:val="en-US" w:eastAsia="zh-CN" w:bidi="ar"/>
              </w:rPr>
              <w:br w:type="textWrapping"/>
            </w:r>
            <w:r>
              <w:rPr>
                <w:rStyle w:val="308"/>
                <w:rFonts w:hint="eastAsia"/>
                <w:color w:val="auto"/>
                <w:lang w:val="en-US" w:eastAsia="zh-CN" w:bidi="ar"/>
              </w:rPr>
              <w:t>3</w:t>
            </w:r>
            <w:r>
              <w:rPr>
                <w:rStyle w:val="308"/>
                <w:color w:val="auto"/>
                <w:lang w:val="en-US" w:eastAsia="zh-CN" w:bidi="ar"/>
              </w:rPr>
              <w:t>.部署模式实现路由模式、透明(网桥)模式、混合模式。</w:t>
            </w:r>
            <w:r>
              <w:rPr>
                <w:rStyle w:val="308"/>
                <w:color w:val="auto"/>
                <w:lang w:val="en-US" w:eastAsia="zh-CN" w:bidi="ar"/>
              </w:rPr>
              <w:br w:type="textWrapping"/>
            </w:r>
            <w:r>
              <w:rPr>
                <w:rStyle w:val="308"/>
                <w:rFonts w:hint="eastAsia"/>
                <w:color w:val="auto"/>
                <w:lang w:val="en-US" w:eastAsia="zh-CN" w:bidi="ar"/>
              </w:rPr>
              <w:t>4</w:t>
            </w:r>
            <w:r>
              <w:rPr>
                <w:rStyle w:val="308"/>
                <w:color w:val="auto"/>
                <w:lang w:val="en-US" w:eastAsia="zh-CN" w:bidi="ar"/>
              </w:rPr>
              <w:t>.设备管理支持SNMPv1、SNMPv2、SNMPv3等网络管理协议，并且支持通过网管软件远程进行设备软件升级、配置等。</w:t>
            </w:r>
            <w:r>
              <w:rPr>
                <w:rStyle w:val="308"/>
                <w:color w:val="auto"/>
                <w:lang w:val="en-US" w:eastAsia="zh-CN" w:bidi="ar"/>
              </w:rPr>
              <w:br w:type="textWrapping"/>
            </w:r>
            <w:r>
              <w:rPr>
                <w:rStyle w:val="308"/>
                <w:rFonts w:hint="eastAsia"/>
                <w:color w:val="auto"/>
                <w:lang w:val="en-US" w:eastAsia="zh-CN" w:bidi="ar"/>
              </w:rPr>
              <w:t>5</w:t>
            </w:r>
            <w:r>
              <w:rPr>
                <w:rStyle w:val="308"/>
                <w:color w:val="auto"/>
                <w:lang w:val="en-US" w:eastAsia="zh-CN" w:bidi="ar"/>
              </w:rPr>
              <w:t>.WEB安全防护支持sq1注入、跨站脚本、</w:t>
            </w:r>
            <w:r>
              <w:rPr>
                <w:rStyle w:val="314"/>
                <w:color w:val="auto"/>
                <w:lang w:val="en-US" w:eastAsia="zh-CN" w:bidi="ar"/>
              </w:rPr>
              <w:t>Web恶意扫描行为等攻击的防护，支持WEB服务器错误信息替换，防止服务器信息泄露，提供功能设置、替换信息Web页面及生效日志。具备Web服务攻击防护的特征库。</w:t>
            </w:r>
            <w:r>
              <w:rPr>
                <w:rStyle w:val="308"/>
                <w:color w:val="auto"/>
                <w:lang w:val="en-US" w:eastAsia="zh-CN" w:bidi="ar"/>
              </w:rPr>
              <w:br w:type="textWrapping"/>
            </w:r>
            <w:r>
              <w:rPr>
                <w:rStyle w:val="308"/>
                <w:rFonts w:hint="eastAsia"/>
                <w:color w:val="auto"/>
                <w:lang w:val="en-US" w:eastAsia="zh-CN" w:bidi="ar"/>
              </w:rPr>
              <w:t>6</w:t>
            </w:r>
            <w:r>
              <w:rPr>
                <w:rStyle w:val="308"/>
                <w:color w:val="auto"/>
                <w:lang w:val="en-US" w:eastAsia="zh-CN" w:bidi="ar"/>
              </w:rPr>
              <w:t>.防病毒可基于病毒特征进行检测，实现病毒库手动和自动升级，实现病毒日志和报表；</w:t>
            </w:r>
            <w:r>
              <w:rPr>
                <w:rStyle w:val="307"/>
                <w:color w:val="auto"/>
                <w:lang w:val="en-US" w:eastAsia="zh-CN" w:bidi="ar"/>
              </w:rPr>
              <w:t>支持基于文件协议、邮件协议</w:t>
            </w:r>
            <w:r>
              <w:rPr>
                <w:rStyle w:val="308"/>
                <w:color w:val="auto"/>
                <w:lang w:val="en-US" w:eastAsia="zh-CN" w:bidi="ar"/>
              </w:rPr>
              <w:br w:type="textWrapping"/>
            </w:r>
            <w:r>
              <w:rPr>
                <w:rStyle w:val="308"/>
                <w:color w:val="auto"/>
                <w:lang w:val="en-US" w:eastAsia="zh-CN" w:bidi="ar"/>
              </w:rPr>
              <w:t>(SMTP/POP3/imap)、共享协议(NFS/SMB)的病毒功能。可基于病毒特征进行检测、动作响应。</w:t>
            </w:r>
            <w:r>
              <w:rPr>
                <w:rStyle w:val="308"/>
                <w:color w:val="auto"/>
                <w:lang w:val="en-US" w:eastAsia="zh-CN" w:bidi="ar"/>
              </w:rPr>
              <w:br w:type="textWrapping"/>
            </w:r>
            <w:r>
              <w:rPr>
                <w:rStyle w:val="308"/>
                <w:rFonts w:hint="eastAsia"/>
                <w:color w:val="auto"/>
                <w:lang w:val="en-US" w:eastAsia="zh-CN" w:bidi="ar"/>
              </w:rPr>
              <w:t>7</w:t>
            </w:r>
            <w:r>
              <w:rPr>
                <w:rStyle w:val="308"/>
                <w:color w:val="auto"/>
                <w:lang w:val="en-US" w:eastAsia="zh-CN" w:bidi="ar"/>
              </w:rPr>
              <w:t>.IPv6实现IPV6动态路由协议、IPV6对象及策略</w:t>
            </w:r>
            <w:r>
              <w:rPr>
                <w:rStyle w:val="311"/>
                <w:color w:val="auto"/>
                <w:lang w:val="en-US" w:eastAsia="zh-CN" w:bidi="ar"/>
              </w:rPr>
              <w:t>等功能。</w:t>
            </w:r>
            <w:r>
              <w:rPr>
                <w:rStyle w:val="308"/>
                <w:color w:val="auto"/>
                <w:lang w:val="en-US" w:eastAsia="zh-CN" w:bidi="ar"/>
              </w:rPr>
              <w:br w:type="textWrapping"/>
            </w:r>
            <w:r>
              <w:rPr>
                <w:rStyle w:val="308"/>
                <w:rFonts w:hint="eastAsia"/>
                <w:color w:val="auto"/>
                <w:lang w:val="en-US" w:eastAsia="zh-CN" w:bidi="ar"/>
              </w:rPr>
              <w:t>8</w:t>
            </w:r>
            <w:r>
              <w:rPr>
                <w:rStyle w:val="308"/>
                <w:color w:val="auto"/>
                <w:lang w:val="en-US" w:eastAsia="zh-CN" w:bidi="ar"/>
              </w:rPr>
              <w:t>.配套授权IPS特征库升级3年，AV特征库升级3年，15个SSLVPN用户授权。</w:t>
            </w:r>
            <w:r>
              <w:rPr>
                <w:rStyle w:val="308"/>
                <w:color w:val="auto"/>
                <w:lang w:val="en-US" w:eastAsia="zh-CN" w:bidi="ar"/>
              </w:rPr>
              <w:br w:type="textWrapping"/>
            </w:r>
            <w:r>
              <w:rPr>
                <w:rStyle w:val="308"/>
                <w:rFonts w:hint="eastAsia"/>
                <w:color w:val="auto"/>
                <w:lang w:val="en-US" w:eastAsia="zh-CN" w:bidi="ar"/>
              </w:rPr>
              <w:t>9</w:t>
            </w:r>
            <w:r>
              <w:rPr>
                <w:rStyle w:val="308"/>
                <w:color w:val="auto"/>
                <w:lang w:val="en-US" w:eastAsia="zh-CN" w:bidi="ar"/>
              </w:rPr>
              <w:t>.软件升级：3年</w:t>
            </w:r>
            <w:r>
              <w:rPr>
                <w:rStyle w:val="308"/>
                <w:color w:val="auto"/>
                <w:lang w:val="en-US" w:eastAsia="zh-CN" w:bidi="ar"/>
              </w:rPr>
              <w:br w:type="textWrapping"/>
            </w:r>
            <w:r>
              <w:rPr>
                <w:rStyle w:val="308"/>
                <w:rFonts w:hint="eastAsia"/>
                <w:color w:val="auto"/>
                <w:lang w:val="en-US" w:eastAsia="zh-CN" w:bidi="ar"/>
              </w:rPr>
              <w:t>10</w:t>
            </w:r>
            <w:r>
              <w:rPr>
                <w:rStyle w:val="308"/>
                <w:color w:val="auto"/>
                <w:lang w:val="en-US" w:eastAsia="zh-CN" w:bidi="ar"/>
              </w:rPr>
              <w:t>.授权IPS、AV、特征库升级：3年</w:t>
            </w:r>
            <w:r>
              <w:rPr>
                <w:rStyle w:val="308"/>
                <w:color w:val="auto"/>
                <w:lang w:val="en-US" w:eastAsia="zh-CN" w:bidi="ar"/>
              </w:rPr>
              <w:br w:type="textWrapping"/>
            </w:r>
            <w:r>
              <w:rPr>
                <w:rStyle w:val="308"/>
                <w:color w:val="auto"/>
                <w:lang w:val="en-US" w:eastAsia="zh-CN" w:bidi="ar"/>
              </w:rPr>
              <w:t>14.产品质保：3年</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65D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506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701B5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7"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F71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5C98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专线网络入口攻击防护服务平台</w:t>
            </w:r>
          </w:p>
        </w:tc>
        <w:tc>
          <w:tcPr>
            <w:tcW w:w="3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E5C2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311"/>
                <w:color w:val="FF0000"/>
                <w:highlight w:val="yellow"/>
                <w:lang w:val="en-US" w:eastAsia="zh-CN" w:bidi="ar"/>
              </w:rPr>
              <w:t>1.</w:t>
            </w:r>
            <w:r>
              <w:rPr>
                <w:rStyle w:val="311"/>
                <w:rFonts w:hint="eastAsia"/>
                <w:color w:val="FF0000"/>
                <w:highlight w:val="yellow"/>
                <w:lang w:val="en-US" w:eastAsia="zh-CN" w:bidi="ar"/>
              </w:rPr>
              <w:t>要求内置双电源，内存≥8GB，硬盘≥2TB HDD。千兆电口≥8个，千兆光口≥2个，万兆光口≥2个。</w:t>
            </w:r>
            <w:r>
              <w:rPr>
                <w:rStyle w:val="311"/>
                <w:color w:val="00B050"/>
                <w:lang w:val="en-US" w:eastAsia="zh-CN" w:bidi="ar"/>
              </w:rPr>
              <w:br w:type="textWrapping"/>
            </w:r>
            <w:r>
              <w:rPr>
                <w:rStyle w:val="311"/>
                <w:color w:val="auto"/>
                <w:lang w:val="en-US" w:eastAsia="zh-CN" w:bidi="ar"/>
              </w:rPr>
              <w:t>2.最大吞吐量：6Gbps,IPS吞吐量：1Gbps,AV吞吐量：1Gbps,最大并发连接数：</w:t>
            </w:r>
            <w:r>
              <w:rPr>
                <w:rStyle w:val="311"/>
                <w:rFonts w:hint="eastAsia"/>
                <w:color w:val="auto"/>
                <w:lang w:val="en-US" w:eastAsia="zh-CN" w:bidi="ar"/>
              </w:rPr>
              <w:t>1</w:t>
            </w:r>
            <w:r>
              <w:rPr>
                <w:rStyle w:val="310"/>
                <w:color w:val="auto"/>
                <w:lang w:val="en-US" w:eastAsia="zh-CN" w:bidi="ar"/>
              </w:rPr>
              <w:t>00万</w:t>
            </w:r>
            <w:r>
              <w:rPr>
                <w:rStyle w:val="311"/>
                <w:color w:val="auto"/>
                <w:lang w:val="en-US" w:eastAsia="zh-CN" w:bidi="ar"/>
              </w:rPr>
              <w:t>，每秒新建连接数：5万。</w:t>
            </w:r>
            <w:r>
              <w:rPr>
                <w:rStyle w:val="311"/>
                <w:color w:val="auto"/>
                <w:lang w:val="en-US" w:eastAsia="zh-CN" w:bidi="ar"/>
              </w:rPr>
              <w:br w:type="textWrapping"/>
            </w:r>
            <w:r>
              <w:rPr>
                <w:rStyle w:val="311"/>
                <w:color w:val="auto"/>
                <w:lang w:val="en-US" w:eastAsia="zh-CN" w:bidi="ar"/>
              </w:rPr>
              <w:t>3.要求支持路由模式、交换模式、旁路模式、虚拟网线工作模式；部署模式切换无需重启设备。</w:t>
            </w:r>
            <w:r>
              <w:rPr>
                <w:rStyle w:val="311"/>
                <w:color w:val="auto"/>
                <w:lang w:val="en-US" w:eastAsia="zh-CN" w:bidi="ar"/>
              </w:rPr>
              <w:br w:type="textWrapping"/>
            </w:r>
            <w:r>
              <w:rPr>
                <w:rStyle w:val="311"/>
                <w:color w:val="auto"/>
                <w:lang w:val="en-US" w:eastAsia="zh-CN" w:bidi="ar"/>
              </w:rPr>
              <w:t>4.支持基于时间段的SNAT、DNAT规则；，支持SNAT的源端口不转换模式；DNAT-双向NAT模式支专线网络入持基于地址池的源转换方式，DNAT的健康探测支持的协议TCP和ICMP;</w:t>
            </w:r>
            <w:r>
              <w:rPr>
                <w:rStyle w:val="311"/>
                <w:color w:val="auto"/>
                <w:lang w:val="en-US" w:eastAsia="zh-CN" w:bidi="ar"/>
              </w:rPr>
              <w:br w:type="textWrapping"/>
            </w:r>
            <w:r>
              <w:rPr>
                <w:rStyle w:val="311"/>
                <w:color w:val="auto"/>
                <w:lang w:val="en-US" w:eastAsia="zh-CN" w:bidi="ar"/>
              </w:rPr>
              <w:t>5.要求支持IPSecVPN及支持SSLVPN功能。SSLVPN的PC客户端支持Windows、macOS等操作系统。</w:t>
            </w:r>
            <w:r>
              <w:rPr>
                <w:rStyle w:val="311"/>
                <w:color w:val="auto"/>
                <w:lang w:val="en-US" w:eastAsia="zh-CN" w:bidi="ar"/>
              </w:rPr>
              <w:br w:type="textWrapping"/>
            </w:r>
            <w:r>
              <w:rPr>
                <w:rStyle w:val="311"/>
                <w:color w:val="auto"/>
                <w:lang w:val="en-US" w:eastAsia="zh-CN" w:bidi="ar"/>
              </w:rPr>
              <w:t>6.要求可识别的主机资产类型包括但不限于通用主机、移动电话、防火墙、网络摄像机、Windows,Linux,MACOS,Android,IOS等，WEB应用，数据库等。</w:t>
            </w:r>
            <w:r>
              <w:rPr>
                <w:rStyle w:val="307"/>
                <w:color w:val="auto"/>
                <w:lang w:val="en-US" w:eastAsia="zh-CN" w:bidi="ar"/>
              </w:rPr>
              <w:br w:type="textWrapping"/>
            </w:r>
            <w:r>
              <w:rPr>
                <w:rStyle w:val="307"/>
                <w:color w:val="auto"/>
                <w:lang w:val="en-US" w:eastAsia="zh-CN" w:bidi="ar"/>
              </w:rPr>
              <w:t>7.要求支持基于主机、软件维度的资产发现，可识别资产所属厂商、IPv4地址、IPv6地址、MAC地址、资产类型、操作系统、用户、软件等信息；可识别软件IP地址、软件类型、软件名称、版本、Banner、协议、端口、用户等信息。</w:t>
            </w:r>
            <w:r>
              <w:rPr>
                <w:rStyle w:val="307"/>
                <w:color w:val="auto"/>
                <w:lang w:val="en-US" w:eastAsia="zh-CN" w:bidi="ar"/>
              </w:rPr>
              <w:br w:type="textWrapping"/>
            </w:r>
            <w:r>
              <w:rPr>
                <w:rStyle w:val="307"/>
                <w:rFonts w:hint="eastAsia"/>
                <w:color w:val="auto"/>
                <w:lang w:val="en-US" w:eastAsia="zh-CN" w:bidi="ar"/>
              </w:rPr>
              <w:t>8</w:t>
            </w:r>
            <w:r>
              <w:rPr>
                <w:rStyle w:val="307"/>
                <w:color w:val="auto"/>
                <w:lang w:val="en-US" w:eastAsia="zh-CN" w:bidi="ar"/>
              </w:rPr>
              <w:t>.要求系统预定义超过</w:t>
            </w:r>
            <w:r>
              <w:rPr>
                <w:rStyle w:val="310"/>
                <w:color w:val="auto"/>
                <w:lang w:val="en-US" w:eastAsia="zh-CN" w:bidi="ar"/>
              </w:rPr>
              <w:t>7000条</w:t>
            </w:r>
            <w:r>
              <w:rPr>
                <w:rStyle w:val="307"/>
                <w:color w:val="auto"/>
                <w:lang w:val="en-US" w:eastAsia="zh-CN" w:bidi="ar"/>
              </w:rPr>
              <w:t>主流攻击规则，包含对应IPS规则的级别、防护对象、操作系统、CVE编号等详细信息。</w:t>
            </w:r>
            <w:r>
              <w:rPr>
                <w:rStyle w:val="307"/>
                <w:color w:val="auto"/>
                <w:lang w:val="en-US" w:eastAsia="zh-CN" w:bidi="ar"/>
              </w:rPr>
              <w:br w:type="textWrapping"/>
            </w:r>
            <w:r>
              <w:rPr>
                <w:rStyle w:val="311"/>
                <w:rFonts w:hint="eastAsia"/>
                <w:color w:val="auto"/>
                <w:lang w:val="en-US" w:eastAsia="zh-CN" w:bidi="ar"/>
              </w:rPr>
              <w:t>9</w:t>
            </w:r>
            <w:r>
              <w:rPr>
                <w:rStyle w:val="311"/>
                <w:color w:val="auto"/>
                <w:lang w:val="en-US" w:eastAsia="zh-CN" w:bidi="ar"/>
              </w:rPr>
              <w:t>.要求支持常规HTTP漏洞、SQL注入、组件、CMS、WebShel1和XSS等类型的Web防护；支持HTTP协议的URL、Method、Referer、User-Agent、Cookie、URL-args等字段的等于、不等于、包含、不包含、正则等多种匹配方式的访问控制。</w:t>
            </w:r>
            <w:r>
              <w:rPr>
                <w:rStyle w:val="307"/>
                <w:color w:val="auto"/>
                <w:lang w:val="en-US" w:eastAsia="zh-CN" w:bidi="ar"/>
              </w:rPr>
              <w:br w:type="textWrapping"/>
            </w:r>
            <w:r>
              <w:rPr>
                <w:rStyle w:val="307"/>
                <w:color w:val="auto"/>
                <w:lang w:val="en-US" w:eastAsia="zh-CN" w:bidi="ar"/>
              </w:rPr>
              <w:t>1</w:t>
            </w:r>
            <w:r>
              <w:rPr>
                <w:rStyle w:val="307"/>
                <w:rFonts w:hint="eastAsia"/>
                <w:color w:val="auto"/>
                <w:lang w:val="en-US" w:eastAsia="zh-CN" w:bidi="ar"/>
              </w:rPr>
              <w:t>0</w:t>
            </w:r>
            <w:r>
              <w:rPr>
                <w:rStyle w:val="307"/>
                <w:color w:val="auto"/>
                <w:lang w:val="en-US" w:eastAsia="zh-CN" w:bidi="ar"/>
              </w:rPr>
              <w:t>.要求支持Telnet、FTP、IMAP、POP3、SMTP、HTTP协议的弱密码防护，支持预定义弱密码规则和自定义弱密码防护。</w:t>
            </w:r>
            <w:r>
              <w:rPr>
                <w:rStyle w:val="307"/>
                <w:color w:val="auto"/>
                <w:lang w:val="en-US" w:eastAsia="zh-CN" w:bidi="ar"/>
              </w:rPr>
              <w:br w:type="textWrapping"/>
            </w:r>
            <w:r>
              <w:rPr>
                <w:rStyle w:val="307"/>
                <w:color w:val="auto"/>
                <w:lang w:val="en-US" w:eastAsia="zh-CN" w:bidi="ar"/>
              </w:rPr>
              <w:t>1</w:t>
            </w:r>
            <w:r>
              <w:rPr>
                <w:rStyle w:val="307"/>
                <w:rFonts w:hint="eastAsia"/>
                <w:color w:val="auto"/>
                <w:lang w:val="en-US" w:eastAsia="zh-CN" w:bidi="ar"/>
              </w:rPr>
              <w:t>1</w:t>
            </w:r>
            <w:r>
              <w:rPr>
                <w:rStyle w:val="307"/>
                <w:color w:val="auto"/>
                <w:lang w:val="en-US" w:eastAsia="zh-CN" w:bidi="ar"/>
              </w:rPr>
              <w:t>.要求支持针对威胁事件采取操作，支持将源IP或目的IP加入黑名单，支持根据时间段导出威胁事件日志；支持威胁事件统计图形化分类展示，支持统计Top10的源IP及其威胁事件数量。</w:t>
            </w:r>
            <w:r>
              <w:rPr>
                <w:rStyle w:val="307"/>
                <w:color w:val="auto"/>
                <w:lang w:val="en-US" w:eastAsia="zh-CN" w:bidi="ar"/>
              </w:rPr>
              <w:br w:type="textWrapping"/>
            </w:r>
            <w:r>
              <w:rPr>
                <w:rStyle w:val="307"/>
                <w:color w:val="auto"/>
                <w:lang w:val="en-US" w:eastAsia="zh-CN" w:bidi="ar"/>
              </w:rPr>
              <w:t>1</w:t>
            </w:r>
            <w:r>
              <w:rPr>
                <w:rStyle w:val="307"/>
                <w:rFonts w:hint="eastAsia"/>
                <w:color w:val="auto"/>
                <w:lang w:val="en-US" w:eastAsia="zh-CN" w:bidi="ar"/>
              </w:rPr>
              <w:t>2</w:t>
            </w:r>
            <w:r>
              <w:rPr>
                <w:rStyle w:val="307"/>
                <w:color w:val="auto"/>
                <w:lang w:val="en-US" w:eastAsia="zh-CN" w:bidi="ar"/>
              </w:rPr>
              <w:t>.威胁情报检测能力：要求支持检测C&amp;C、勒索软件、僵尸网络、挖矿软件、矿池地址等安全攻击类型。</w:t>
            </w:r>
            <w:r>
              <w:rPr>
                <w:rStyle w:val="307"/>
                <w:color w:val="auto"/>
                <w:lang w:val="en-US" w:eastAsia="zh-CN" w:bidi="ar"/>
              </w:rPr>
              <w:br w:type="textWrapping"/>
            </w:r>
            <w:r>
              <w:rPr>
                <w:rStyle w:val="307"/>
                <w:color w:val="auto"/>
                <w:lang w:val="en-US" w:eastAsia="zh-CN" w:bidi="ar"/>
              </w:rPr>
              <w:t>1</w:t>
            </w:r>
            <w:r>
              <w:rPr>
                <w:rStyle w:val="307"/>
                <w:rFonts w:hint="eastAsia"/>
                <w:color w:val="auto"/>
                <w:lang w:val="en-US" w:eastAsia="zh-CN" w:bidi="ar"/>
              </w:rPr>
              <w:t>3</w:t>
            </w:r>
            <w:r>
              <w:rPr>
                <w:rStyle w:val="307"/>
                <w:color w:val="auto"/>
                <w:lang w:val="en-US" w:eastAsia="zh-CN" w:bidi="ar"/>
              </w:rPr>
              <w:t>.要求支持基于地址、服务、时间等匹配条件进行流量控制；并支持配置保障带宽、最大带宽、最大连接数、最大连接速率、每IP带宽等QoS动作。</w:t>
            </w:r>
            <w:r>
              <w:rPr>
                <w:rStyle w:val="307"/>
                <w:color w:val="auto"/>
                <w:lang w:val="en-US" w:eastAsia="zh-CN" w:bidi="ar"/>
              </w:rPr>
              <w:br w:type="textWrapping"/>
            </w:r>
            <w:r>
              <w:rPr>
                <w:rStyle w:val="307"/>
                <w:color w:val="auto"/>
                <w:lang w:val="en-US" w:eastAsia="zh-CN" w:bidi="ar"/>
              </w:rPr>
              <w:t>1</w:t>
            </w:r>
            <w:r>
              <w:rPr>
                <w:rStyle w:val="307"/>
                <w:rFonts w:hint="eastAsia"/>
                <w:color w:val="auto"/>
                <w:lang w:val="en-US" w:eastAsia="zh-CN" w:bidi="ar"/>
              </w:rPr>
              <w:t>4</w:t>
            </w:r>
            <w:r>
              <w:rPr>
                <w:rStyle w:val="307"/>
                <w:color w:val="auto"/>
                <w:lang w:val="en-US" w:eastAsia="zh-CN" w:bidi="ar"/>
              </w:rPr>
              <w:t>.要求提供对控制策略分析，可分析并展示问题策略数量以及所占百分比、问题策略详情、策略宽松度分布情况，简化运维工作。</w:t>
            </w:r>
            <w:r>
              <w:rPr>
                <w:rStyle w:val="307"/>
                <w:color w:val="auto"/>
                <w:lang w:val="en-US" w:eastAsia="zh-CN" w:bidi="ar"/>
              </w:rPr>
              <w:br w:type="textWrapping"/>
            </w:r>
            <w:r>
              <w:rPr>
                <w:rStyle w:val="307"/>
                <w:color w:val="auto"/>
                <w:lang w:val="en-US" w:eastAsia="zh-CN" w:bidi="ar"/>
              </w:rPr>
              <w:t>1</w:t>
            </w:r>
            <w:r>
              <w:rPr>
                <w:rStyle w:val="307"/>
                <w:rFonts w:hint="eastAsia"/>
                <w:color w:val="auto"/>
                <w:lang w:val="en-US" w:eastAsia="zh-CN" w:bidi="ar"/>
              </w:rPr>
              <w:t>5</w:t>
            </w:r>
            <w:r>
              <w:rPr>
                <w:rStyle w:val="307"/>
                <w:color w:val="auto"/>
                <w:lang w:val="en-US" w:eastAsia="zh-CN" w:bidi="ar"/>
              </w:rPr>
              <w:t>.软件升级：3年</w:t>
            </w:r>
            <w:r>
              <w:rPr>
                <w:rStyle w:val="307"/>
                <w:color w:val="auto"/>
                <w:lang w:val="en-US" w:eastAsia="zh-CN" w:bidi="ar"/>
              </w:rPr>
              <w:br w:type="textWrapping"/>
            </w:r>
            <w:r>
              <w:rPr>
                <w:rStyle w:val="307"/>
                <w:color w:val="auto"/>
                <w:lang w:val="en-US" w:eastAsia="zh-CN" w:bidi="ar"/>
              </w:rPr>
              <w:t>1</w:t>
            </w:r>
            <w:r>
              <w:rPr>
                <w:rStyle w:val="307"/>
                <w:rFonts w:hint="eastAsia"/>
                <w:color w:val="auto"/>
                <w:lang w:val="en-US" w:eastAsia="zh-CN" w:bidi="ar"/>
              </w:rPr>
              <w:t>6</w:t>
            </w:r>
            <w:r>
              <w:rPr>
                <w:rStyle w:val="307"/>
                <w:color w:val="auto"/>
                <w:lang w:val="en-US" w:eastAsia="zh-CN" w:bidi="ar"/>
              </w:rPr>
              <w:t>.授权IPS、AV特征库升级：3年</w:t>
            </w:r>
            <w:r>
              <w:rPr>
                <w:rStyle w:val="307"/>
                <w:color w:val="auto"/>
                <w:lang w:val="en-US" w:eastAsia="zh-CN" w:bidi="ar"/>
              </w:rPr>
              <w:br w:type="textWrapping"/>
            </w:r>
            <w:r>
              <w:rPr>
                <w:rStyle w:val="307"/>
                <w:color w:val="auto"/>
                <w:lang w:val="en-US" w:eastAsia="zh-CN" w:bidi="ar"/>
              </w:rPr>
              <w:t>1</w:t>
            </w:r>
            <w:r>
              <w:rPr>
                <w:rStyle w:val="307"/>
                <w:rFonts w:hint="eastAsia"/>
                <w:color w:val="auto"/>
                <w:lang w:val="en-US" w:eastAsia="zh-CN" w:bidi="ar"/>
              </w:rPr>
              <w:t>7</w:t>
            </w:r>
            <w:r>
              <w:rPr>
                <w:rStyle w:val="307"/>
                <w:color w:val="auto"/>
                <w:lang w:val="en-US" w:eastAsia="zh-CN" w:bidi="ar"/>
              </w:rPr>
              <w:t>.产品质保：3年</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940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354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73596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84A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10A6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安全区域数据交换传输设备</w:t>
            </w:r>
          </w:p>
        </w:tc>
        <w:tc>
          <w:tcPr>
            <w:tcW w:w="3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468229">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1.千兆电口：8个，万兆光口：14个，交换容：2.56Tbps/23.04Tbps,包转发率：220Mpps,支持IRF2智能弹性架构，支持10GE端口聚合。</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3.软件升级：3年安全区域数据交换传输设备</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4.产品质保：3年</w:t>
            </w:r>
          </w:p>
          <w:p w14:paraId="5773E4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color w:val="FF0000"/>
                <w:sz w:val="22"/>
                <w:szCs w:val="22"/>
                <w:highlight w:val="yellow"/>
                <w:lang w:val="en-US" w:eastAsia="zh-CN"/>
              </w:rPr>
              <w:t>5.含安全设备所需光模块及光跳线。</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AB8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5B2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733AEB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0EC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AA91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终端设备应用行为管理控制平台</w:t>
            </w:r>
          </w:p>
        </w:tc>
        <w:tc>
          <w:tcPr>
            <w:tcW w:w="3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279B3E">
            <w:pPr>
              <w:keepNext w:val="0"/>
              <w:keepLines w:val="0"/>
              <w:widowControl/>
              <w:suppressLineNumbers w:val="0"/>
              <w:spacing w:line="360" w:lineRule="auto"/>
              <w:jc w:val="left"/>
              <w:textAlignment w:val="center"/>
              <w:rPr>
                <w:rFonts w:hint="eastAsia" w:ascii="宋体" w:hAnsi="宋体" w:eastAsia="宋体" w:cs="宋体"/>
                <w:color w:val="FF0000"/>
                <w:sz w:val="22"/>
                <w:szCs w:val="22"/>
                <w:highlight w:val="yellow"/>
              </w:rPr>
            </w:pPr>
            <w:r>
              <w:rPr>
                <w:rStyle w:val="309"/>
                <w:rFonts w:hint="eastAsia" w:ascii="宋体" w:hAnsi="宋体" w:eastAsia="宋体" w:cs="宋体"/>
                <w:color w:val="FF0000"/>
                <w:sz w:val="22"/>
                <w:szCs w:val="22"/>
                <w:highlight w:val="yellow"/>
                <w:lang w:val="en-US" w:eastAsia="zh-CN" w:bidi="ar"/>
              </w:rPr>
              <w:t>1.</w:t>
            </w:r>
            <w:r>
              <w:rPr>
                <w:rFonts w:hint="eastAsia" w:ascii="宋体" w:hAnsi="宋体" w:eastAsia="宋体" w:cs="宋体"/>
                <w:color w:val="FF0000"/>
                <w:sz w:val="22"/>
                <w:szCs w:val="22"/>
                <w:highlight w:val="yellow"/>
              </w:rPr>
              <w:t>内存大小≥8G，硬盘容量≥128GB SSD，接口≥6千兆电口。</w:t>
            </w:r>
          </w:p>
          <w:p w14:paraId="62EC86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309"/>
                <w:color w:val="FF0000"/>
                <w:highlight w:val="yellow"/>
                <w:lang w:val="en-US" w:eastAsia="zh-CN" w:bidi="ar"/>
              </w:rPr>
              <w:t>2.</w:t>
            </w:r>
            <w:r>
              <w:rPr>
                <w:rFonts w:hint="eastAsia" w:ascii="宋体" w:hAnsi="宋体" w:eastAsia="宋体" w:cs="宋体"/>
                <w:color w:val="FF0000"/>
                <w:sz w:val="22"/>
                <w:szCs w:val="22"/>
                <w:highlight w:val="yellow"/>
              </w:rPr>
              <w:t>网络层吞吐量≥5.8Gb，应用层吞吐量≥750M，支持用户数≥1000，每秒新建连接数≥10000，最大并发连接数≥500000。</w:t>
            </w:r>
            <w:r>
              <w:rPr>
                <w:rStyle w:val="309"/>
                <w:color w:val="auto"/>
                <w:lang w:val="en-US" w:eastAsia="zh-CN" w:bidi="ar"/>
              </w:rPr>
              <w:br w:type="textWrapping"/>
            </w:r>
            <w:r>
              <w:rPr>
                <w:rStyle w:val="309"/>
                <w:color w:val="auto"/>
                <w:lang w:val="en-US" w:eastAsia="zh-CN" w:bidi="ar"/>
              </w:rPr>
              <w:t>3.用户管理：支持针对特权用户配置免认证key、免审计key、免控制key。</w:t>
            </w:r>
            <w:r>
              <w:rPr>
                <w:rStyle w:val="309"/>
                <w:color w:val="auto"/>
                <w:lang w:val="en-US" w:eastAsia="zh-CN" w:bidi="ar"/>
              </w:rPr>
              <w:br w:type="textWrapping"/>
            </w:r>
            <w:r>
              <w:rPr>
                <w:rStyle w:val="309"/>
                <w:color w:val="auto"/>
                <w:lang w:val="en-US" w:eastAsia="zh-CN" w:bidi="ar"/>
              </w:rPr>
              <w:t>4.静态URL库：设备内置海量预分类的URL地址库，能够针对：网上购物、成人内容、求职招聘、宗教、在线影音及下载、游戏资讯、网上聊天、个人网站及博客、色情、赌博、非法药物、风水命理、娱乐场所、汽车、餐饮、钓鱼及恶意网站、网上银行、在线支付等各种URL类型做识别和分类，同时所有URL类型都支持区分“网站浏览”、“文件上传”、“其他上终端设备应传”、“HTTPS”等细分行为并分别做权限控制。</w:t>
            </w:r>
            <w:r>
              <w:rPr>
                <w:rStyle w:val="308"/>
                <w:color w:val="auto"/>
                <w:lang w:val="en-US" w:eastAsia="zh-CN" w:bidi="ar"/>
              </w:rPr>
              <w:br w:type="textWrapping"/>
            </w:r>
            <w:r>
              <w:rPr>
                <w:rStyle w:val="308"/>
                <w:color w:val="auto"/>
                <w:lang w:val="en-US" w:eastAsia="zh-CN" w:bidi="ar"/>
              </w:rPr>
              <w:t>5.支持权限策略故障排查，支持针对上网权限策略进行检测分析，查看各个应用是否匹配相关策略；</w:t>
            </w:r>
            <w:r>
              <w:rPr>
                <w:rStyle w:val="308"/>
                <w:color w:val="auto"/>
                <w:lang w:val="en-US" w:eastAsia="zh-CN" w:bidi="ar"/>
              </w:rPr>
              <w:br w:type="textWrapping"/>
            </w:r>
            <w:r>
              <w:rPr>
                <w:rStyle w:val="308"/>
                <w:color w:val="auto"/>
                <w:lang w:val="en-US" w:eastAsia="zh-CN" w:bidi="ar"/>
              </w:rPr>
              <w:t>6.支持SSL中间人解密和客户端解密，确保数据传输的透明性与安全性。</w:t>
            </w:r>
            <w:r>
              <w:rPr>
                <w:rStyle w:val="308"/>
                <w:color w:val="auto"/>
                <w:lang w:val="en-US" w:eastAsia="zh-CN" w:bidi="ar"/>
              </w:rPr>
              <w:br w:type="textWrapping"/>
            </w:r>
            <w:r>
              <w:rPr>
                <w:rStyle w:val="308"/>
                <w:color w:val="auto"/>
                <w:lang w:val="en-US" w:eastAsia="zh-CN" w:bidi="ar"/>
              </w:rPr>
              <w:t>7.关键字过滤：过滤同时匹配三个以上关键字的网页访问行为；</w:t>
            </w:r>
            <w:r>
              <w:rPr>
                <w:rStyle w:val="308"/>
                <w:color w:val="auto"/>
                <w:lang w:val="en-US" w:eastAsia="zh-CN" w:bidi="ar"/>
              </w:rPr>
              <w:br w:type="textWrapping"/>
            </w:r>
            <w:r>
              <w:rPr>
                <w:rStyle w:val="308"/>
                <w:color w:val="auto"/>
                <w:lang w:val="en-US" w:eastAsia="zh-CN" w:bidi="ar"/>
              </w:rPr>
              <w:t>8.应用识别规则库：设备内置应用识别规则库，支持超过</w:t>
            </w:r>
            <w:r>
              <w:rPr>
                <w:rStyle w:val="314"/>
                <w:color w:val="auto"/>
                <w:lang w:val="en-US" w:eastAsia="zh-CN" w:bidi="ar"/>
              </w:rPr>
              <w:t>6000</w:t>
            </w:r>
            <w:r>
              <w:rPr>
                <w:rStyle w:val="308"/>
                <w:color w:val="auto"/>
                <w:lang w:val="en-US" w:eastAsia="zh-CN" w:bidi="ar"/>
              </w:rPr>
              <w:t>条应用规则数，支持超过2000种以上的应用。支持根据标签选择应用，并支持给每个应用自定义标签；支持根据标签选择一类应用做控制；</w:t>
            </w:r>
            <w:r>
              <w:rPr>
                <w:rStyle w:val="308"/>
                <w:color w:val="auto"/>
                <w:lang w:val="en-US" w:eastAsia="zh-CN" w:bidi="ar"/>
              </w:rPr>
              <w:br w:type="textWrapping"/>
            </w:r>
            <w:r>
              <w:rPr>
                <w:rStyle w:val="308"/>
                <w:color w:val="auto"/>
                <w:lang w:val="en-US" w:eastAsia="zh-CN" w:bidi="ar"/>
              </w:rPr>
              <w:t>9.软件升级：3年</w:t>
            </w:r>
            <w:r>
              <w:rPr>
                <w:rStyle w:val="308"/>
                <w:color w:val="auto"/>
                <w:lang w:val="en-US" w:eastAsia="zh-CN" w:bidi="ar"/>
              </w:rPr>
              <w:br w:type="textWrapping"/>
            </w:r>
            <w:r>
              <w:rPr>
                <w:rStyle w:val="308"/>
                <w:color w:val="auto"/>
                <w:lang w:val="en-US" w:eastAsia="zh-CN" w:bidi="ar"/>
              </w:rPr>
              <w:t>10.授权特征库升级：3年</w:t>
            </w:r>
            <w:r>
              <w:rPr>
                <w:rStyle w:val="308"/>
                <w:color w:val="auto"/>
                <w:lang w:val="en-US" w:eastAsia="zh-CN" w:bidi="ar"/>
              </w:rPr>
              <w:br w:type="textWrapping"/>
            </w:r>
            <w:r>
              <w:rPr>
                <w:rStyle w:val="308"/>
                <w:color w:val="auto"/>
                <w:lang w:val="en-US" w:eastAsia="zh-CN" w:bidi="ar"/>
              </w:rPr>
              <w:t>11.产品质保：3年</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302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484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36147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1FF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909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安全感知管理平台</w:t>
            </w:r>
          </w:p>
        </w:tc>
        <w:tc>
          <w:tcPr>
            <w:tcW w:w="3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948E2E">
            <w:pPr>
              <w:keepNext w:val="0"/>
              <w:keepLines w:val="0"/>
              <w:widowControl/>
              <w:numPr>
                <w:ilvl w:val="0"/>
                <w:numId w:val="54"/>
              </w:numPr>
              <w:suppressLineNumbers w:val="0"/>
              <w:jc w:val="left"/>
              <w:textAlignment w:val="center"/>
              <w:rPr>
                <w:rStyle w:val="308"/>
                <w:color w:val="auto"/>
                <w:lang w:val="en-US" w:eastAsia="zh-CN" w:bidi="ar"/>
              </w:rPr>
            </w:pPr>
            <w:r>
              <w:rPr>
                <w:rFonts w:hint="eastAsia" w:ascii="宋体" w:hAnsi="宋体" w:eastAsia="宋体" w:cs="宋体"/>
                <w:color w:val="FF0000"/>
                <w:sz w:val="22"/>
                <w:szCs w:val="22"/>
                <w:highlight w:val="yellow"/>
              </w:rPr>
              <w:t>内存大小≥16G，硬盘容量≥128G SSD + 4T SATA;接口≥</w:t>
            </w:r>
            <w:r>
              <w:rPr>
                <w:rFonts w:hint="eastAsia" w:ascii="宋体" w:hAnsi="宋体" w:eastAsia="宋体" w:cs="宋体"/>
                <w:color w:val="FF0000"/>
                <w:sz w:val="22"/>
                <w:szCs w:val="22"/>
                <w:highlight w:val="yellow"/>
                <w:lang w:val="en-US" w:eastAsia="zh-CN"/>
              </w:rPr>
              <w:t>6</w:t>
            </w:r>
            <w:r>
              <w:rPr>
                <w:rFonts w:hint="eastAsia" w:ascii="宋体" w:hAnsi="宋体" w:eastAsia="宋体" w:cs="宋体"/>
                <w:color w:val="FF0000"/>
                <w:sz w:val="22"/>
                <w:szCs w:val="22"/>
                <w:highlight w:val="yellow"/>
              </w:rPr>
              <w:t>千兆电口,万兆光口≥2个</w:t>
            </w:r>
            <w:r>
              <w:rPr>
                <w:rFonts w:hint="eastAsia" w:ascii="宋体" w:hAnsi="宋体" w:cs="宋体"/>
                <w:color w:val="FF0000"/>
                <w:sz w:val="22"/>
                <w:szCs w:val="22"/>
                <w:highlight w:val="yellow"/>
                <w:lang w:eastAsia="zh-CN"/>
              </w:rPr>
              <w:t>。</w:t>
            </w:r>
            <w:r>
              <w:rPr>
                <w:rStyle w:val="309"/>
                <w:color w:val="auto"/>
                <w:lang w:val="en-US" w:eastAsia="zh-CN" w:bidi="ar"/>
              </w:rPr>
              <w:br w:type="textWrapping"/>
            </w:r>
            <w:r>
              <w:rPr>
                <w:rStyle w:val="309"/>
                <w:color w:val="auto"/>
                <w:lang w:val="en-US" w:eastAsia="zh-CN" w:bidi="ar"/>
              </w:rPr>
              <w:t>2.网络层吞吐量不低于500Mbps。</w:t>
            </w:r>
            <w:r>
              <w:rPr>
                <w:rStyle w:val="309"/>
                <w:color w:val="auto"/>
                <w:lang w:val="en-US" w:eastAsia="zh-CN" w:bidi="ar"/>
              </w:rPr>
              <w:br w:type="textWrapping"/>
            </w:r>
            <w:r>
              <w:rPr>
                <w:rStyle w:val="309"/>
                <w:color w:val="auto"/>
                <w:lang w:val="en-US" w:eastAsia="zh-CN" w:bidi="ar"/>
              </w:rPr>
              <w:t>3.支持安全态势的可视化呈现，以大屏的方式从全网安全态势感知大屏、安全事件态势、资产监控大屏、脆弱性态势、全球网络攻击态势、外联风险监控大屏、横向威胁态势等</w:t>
            </w:r>
            <w:r>
              <w:rPr>
                <w:rStyle w:val="308"/>
                <w:color w:val="auto"/>
                <w:lang w:val="en-US" w:eastAsia="zh-CN" w:bidi="ar"/>
              </w:rPr>
              <w:br w:type="textWrapping"/>
            </w:r>
            <w:r>
              <w:rPr>
                <w:rStyle w:val="308"/>
                <w:color w:val="auto"/>
                <w:lang w:val="en-US" w:eastAsia="zh-CN" w:bidi="ar"/>
              </w:rPr>
              <w:t>4.具备：全流量采集、AI智能分析、威胁情报三大关键技术，能打造一套智能化、精准化、高效化的全流量威胁分析系统。</w:t>
            </w:r>
            <w:r>
              <w:rPr>
                <w:rStyle w:val="308"/>
                <w:color w:val="auto"/>
                <w:lang w:val="en-US" w:eastAsia="zh-CN" w:bidi="ar"/>
              </w:rPr>
              <w:br w:type="textWrapping"/>
            </w:r>
            <w:r>
              <w:rPr>
                <w:rStyle w:val="308"/>
                <w:rFonts w:hint="eastAsia"/>
                <w:color w:val="auto"/>
                <w:lang w:val="en-US" w:eastAsia="zh-CN" w:bidi="ar"/>
              </w:rPr>
              <w:t>5</w:t>
            </w:r>
            <w:r>
              <w:rPr>
                <w:rStyle w:val="308"/>
                <w:color w:val="auto"/>
                <w:lang w:val="en-US" w:eastAsia="zh-CN" w:bidi="ar"/>
              </w:rPr>
              <w:t>.支持勒索专项检测页面，对勒索主题的安全告警进行展示和管理，支持以勒索病毒的感染途径/方式为维度进行分类，包括勒索常用端口、勒索常用漏洞、RDP爆破、感染勒索病毒、黑客勒索攻击、勒索C&amp;C通信等维度，支持展示受害资产以及受害资产攻击数Top5,支持以列表的形式展示勒索事件，包括最近发生时间、威胁描述、勒索风险、攻击阶段、威胁等级、受害者IP、受害者资产类型、攻击者IP、攻击次数、处置状态等。</w:t>
            </w:r>
            <w:r>
              <w:rPr>
                <w:rStyle w:val="308"/>
                <w:color w:val="auto"/>
                <w:lang w:val="en-US" w:eastAsia="zh-CN" w:bidi="ar"/>
              </w:rPr>
              <w:br w:type="textWrapping"/>
            </w:r>
            <w:r>
              <w:rPr>
                <w:rStyle w:val="308"/>
                <w:rFonts w:hint="eastAsia"/>
                <w:color w:val="auto"/>
                <w:lang w:val="en-US" w:eastAsia="zh-CN" w:bidi="ar"/>
              </w:rPr>
              <w:t>6</w:t>
            </w:r>
            <w:r>
              <w:rPr>
                <w:rStyle w:val="308"/>
                <w:color w:val="auto"/>
                <w:lang w:val="en-US" w:eastAsia="zh-CN" w:bidi="ar"/>
              </w:rPr>
              <w:t>.支持本地威胁情报和云端情报检测，本地内置检测情报IOC规则数，平台联网情况下每5分钟可获取云端最新热门威胁情报规则库，具备防御热点威胁能力，针对本地无法检测的可疑IP、未知DNS等信息可上传至云端情报平台，平台针对页面内容分析引擎、图关联分析、逆向分析、主动探测等技术进行检测，可实时播报威胁情报检测信息。</w:t>
            </w:r>
          </w:p>
          <w:p w14:paraId="49A50A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308"/>
                <w:rFonts w:hint="eastAsia"/>
                <w:color w:val="auto"/>
                <w:lang w:val="en-US" w:eastAsia="zh-CN" w:bidi="ar"/>
              </w:rPr>
              <w:t>7</w:t>
            </w:r>
            <w:r>
              <w:rPr>
                <w:rStyle w:val="308"/>
                <w:color w:val="auto"/>
                <w:lang w:val="en-US" w:eastAsia="zh-CN" w:bidi="ar"/>
              </w:rPr>
              <w:t>.支持web登录结果自定义，可根据登录行为检测是否登录成功，支持基于响应状态码、响应内容格式、URL、关键字、服务器IP地址、所属资产组等信息判定成功或失败的通用规则设置，支持机器学习引擎持续学习用户登录行为，生成登录成功规则模型。</w:t>
            </w:r>
            <w:r>
              <w:rPr>
                <w:rStyle w:val="308"/>
                <w:color w:val="auto"/>
                <w:lang w:val="en-US" w:eastAsia="zh-CN" w:bidi="ar"/>
              </w:rPr>
              <w:br w:type="textWrapping"/>
            </w:r>
            <w:r>
              <w:rPr>
                <w:rStyle w:val="308"/>
                <w:rFonts w:hint="eastAsia"/>
                <w:color w:val="auto"/>
                <w:lang w:val="en-US" w:eastAsia="zh-CN" w:bidi="ar"/>
              </w:rPr>
              <w:t>8</w:t>
            </w:r>
            <w:r>
              <w:rPr>
                <w:rStyle w:val="308"/>
                <w:color w:val="auto"/>
                <w:lang w:val="en-US" w:eastAsia="zh-CN" w:bidi="ar"/>
              </w:rPr>
              <w:t>.支持大屏轮播投屏及自定义大屏顺序设置和大屏名称。支持自定义统计周期、资产组、展示风险、轮播时间间隔、实时告警等信息。</w:t>
            </w:r>
            <w:r>
              <w:rPr>
                <w:rStyle w:val="308"/>
                <w:color w:val="auto"/>
                <w:lang w:val="en-US" w:eastAsia="zh-CN" w:bidi="ar"/>
              </w:rPr>
              <w:br w:type="textWrapping"/>
            </w:r>
            <w:r>
              <w:rPr>
                <w:rStyle w:val="308"/>
                <w:rFonts w:hint="eastAsia"/>
                <w:color w:val="auto"/>
                <w:lang w:val="en-US" w:eastAsia="zh-CN" w:bidi="ar"/>
              </w:rPr>
              <w:t>9</w:t>
            </w:r>
            <w:r>
              <w:rPr>
                <w:rStyle w:val="308"/>
                <w:color w:val="auto"/>
                <w:lang w:val="en-US" w:eastAsia="zh-CN" w:bidi="ar"/>
              </w:rPr>
              <w:t>.支持弱密码主动扫描，支持SMB、MySQL、Oracle、RDP、SSH、等扫描协议，支持自定义扫描周期、发包频率、扫描时间段、扫描优先级、扫描对象等。</w:t>
            </w:r>
            <w:r>
              <w:rPr>
                <w:rStyle w:val="308"/>
                <w:color w:val="auto"/>
                <w:lang w:val="en-US" w:eastAsia="zh-CN" w:bidi="ar"/>
              </w:rPr>
              <w:br w:type="textWrapping"/>
            </w:r>
            <w:r>
              <w:rPr>
                <w:rStyle w:val="308"/>
                <w:color w:val="auto"/>
                <w:lang w:val="en-US" w:eastAsia="zh-CN" w:bidi="ar"/>
              </w:rPr>
              <w:t>1</w:t>
            </w:r>
            <w:r>
              <w:rPr>
                <w:rStyle w:val="308"/>
                <w:rFonts w:hint="eastAsia"/>
                <w:color w:val="auto"/>
                <w:lang w:val="en-US" w:eastAsia="zh-CN" w:bidi="ar"/>
              </w:rPr>
              <w:t>0</w:t>
            </w:r>
            <w:r>
              <w:rPr>
                <w:rStyle w:val="308"/>
                <w:color w:val="auto"/>
                <w:lang w:val="en-US" w:eastAsia="zh-CN" w:bidi="ar"/>
              </w:rPr>
              <w:t>.软件升级：3年</w:t>
            </w:r>
            <w:r>
              <w:rPr>
                <w:rStyle w:val="308"/>
                <w:color w:val="auto"/>
                <w:lang w:val="en-US" w:eastAsia="zh-CN" w:bidi="ar"/>
              </w:rPr>
              <w:br w:type="textWrapping"/>
            </w:r>
            <w:r>
              <w:rPr>
                <w:rStyle w:val="308"/>
                <w:color w:val="auto"/>
                <w:lang w:val="en-US" w:eastAsia="zh-CN" w:bidi="ar"/>
              </w:rPr>
              <w:t>1</w:t>
            </w:r>
            <w:r>
              <w:rPr>
                <w:rStyle w:val="308"/>
                <w:rFonts w:hint="eastAsia"/>
                <w:color w:val="auto"/>
                <w:lang w:val="en-US" w:eastAsia="zh-CN" w:bidi="ar"/>
              </w:rPr>
              <w:t>1</w:t>
            </w:r>
            <w:r>
              <w:rPr>
                <w:rStyle w:val="308"/>
                <w:color w:val="auto"/>
                <w:lang w:val="en-US" w:eastAsia="zh-CN" w:bidi="ar"/>
              </w:rPr>
              <w:t>.授权特征库升级：3年</w:t>
            </w:r>
            <w:r>
              <w:rPr>
                <w:rStyle w:val="308"/>
                <w:color w:val="auto"/>
                <w:lang w:val="en-US" w:eastAsia="zh-CN" w:bidi="ar"/>
              </w:rPr>
              <w:br w:type="textWrapping"/>
            </w:r>
            <w:r>
              <w:rPr>
                <w:rStyle w:val="308"/>
                <w:color w:val="auto"/>
                <w:lang w:val="en-US" w:eastAsia="zh-CN" w:bidi="ar"/>
              </w:rPr>
              <w:t>1</w:t>
            </w:r>
            <w:r>
              <w:rPr>
                <w:rStyle w:val="308"/>
                <w:rFonts w:hint="eastAsia"/>
                <w:color w:val="auto"/>
                <w:lang w:val="en-US" w:eastAsia="zh-CN" w:bidi="ar"/>
              </w:rPr>
              <w:t>2</w:t>
            </w:r>
            <w:r>
              <w:rPr>
                <w:rStyle w:val="308"/>
                <w:color w:val="auto"/>
                <w:lang w:val="en-US" w:eastAsia="zh-CN" w:bidi="ar"/>
              </w:rPr>
              <w:t>.产品质保：3年</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92D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A1C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4380CE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8"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807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A34D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网络漏洞监测扫描平台</w:t>
            </w:r>
          </w:p>
        </w:tc>
        <w:tc>
          <w:tcPr>
            <w:tcW w:w="3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EFF51D">
            <w:pPr>
              <w:keepNext w:val="0"/>
              <w:keepLines w:val="0"/>
              <w:widowControl/>
              <w:numPr>
                <w:ilvl w:val="0"/>
                <w:numId w:val="55"/>
              </w:numPr>
              <w:suppressLineNumbers w:val="0"/>
              <w:jc w:val="left"/>
              <w:textAlignment w:val="center"/>
              <w:rPr>
                <w:rFonts w:hint="eastAsia" w:ascii="宋体" w:hAnsi="宋体" w:eastAsia="宋体" w:cs="宋体"/>
                <w:i w:val="0"/>
                <w:iCs w:val="0"/>
                <w:color w:val="FF0000"/>
                <w:sz w:val="22"/>
                <w:szCs w:val="22"/>
                <w:highlight w:val="yellow"/>
                <w:u w:val="none"/>
              </w:rPr>
            </w:pPr>
            <w:r>
              <w:rPr>
                <w:rFonts w:hint="eastAsia" w:ascii="宋体" w:hAnsi="宋体" w:eastAsia="宋体" w:cs="宋体"/>
                <w:i w:val="0"/>
                <w:iCs w:val="0"/>
                <w:color w:val="FF0000"/>
                <w:sz w:val="22"/>
                <w:szCs w:val="22"/>
                <w:highlight w:val="yellow"/>
                <w:u w:val="none"/>
                <w:lang w:val="en-US"/>
              </w:rPr>
              <w:t>硬盘≥2T ，内存≥16G，电口≥4个，USB口≥2个</w:t>
            </w:r>
            <w:r>
              <w:rPr>
                <w:rFonts w:hint="eastAsia" w:ascii="宋体" w:hAnsi="宋体" w:cs="宋体"/>
                <w:i w:val="0"/>
                <w:iCs w:val="0"/>
                <w:color w:val="FF0000"/>
                <w:sz w:val="22"/>
                <w:szCs w:val="22"/>
                <w:highlight w:val="yellow"/>
                <w:u w:val="none"/>
                <w:lang w:val="en-US" w:eastAsia="zh-CN"/>
              </w:rPr>
              <w:t>。</w:t>
            </w:r>
          </w:p>
          <w:p w14:paraId="5E48ED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308"/>
                <w:color w:val="auto"/>
                <w:lang w:val="en-US" w:eastAsia="zh-CN" w:bidi="ar"/>
              </w:rPr>
              <w:t>要求设备任务并发数不低于10,并发IP数不低于80,</w:t>
            </w:r>
            <w:r>
              <w:rPr>
                <w:rStyle w:val="310"/>
                <w:color w:val="auto"/>
                <w:lang w:val="en-US" w:eastAsia="zh-CN" w:bidi="ar"/>
              </w:rPr>
              <w:t>授权可扫描总数量无限制</w:t>
            </w:r>
            <w:r>
              <w:rPr>
                <w:rStyle w:val="308"/>
                <w:color w:val="auto"/>
                <w:lang w:val="en-US" w:eastAsia="zh-CN" w:bidi="ar"/>
              </w:rPr>
              <w:t>，硬盘容量不低于</w:t>
            </w:r>
            <w:r>
              <w:rPr>
                <w:rStyle w:val="310"/>
                <w:rFonts w:hint="eastAsia"/>
                <w:color w:val="auto"/>
                <w:lang w:val="en-US" w:eastAsia="zh-CN" w:bidi="ar"/>
              </w:rPr>
              <w:t>2</w:t>
            </w:r>
            <w:r>
              <w:rPr>
                <w:rStyle w:val="310"/>
                <w:color w:val="auto"/>
                <w:lang w:val="en-US" w:eastAsia="zh-CN" w:bidi="ar"/>
              </w:rPr>
              <w:t>TB,内存不低于</w:t>
            </w:r>
            <w:r>
              <w:rPr>
                <w:rStyle w:val="310"/>
                <w:rFonts w:hint="eastAsia"/>
                <w:color w:val="auto"/>
                <w:lang w:val="en-US" w:eastAsia="zh-CN" w:bidi="ar"/>
              </w:rPr>
              <w:t>16</w:t>
            </w:r>
            <w:r>
              <w:rPr>
                <w:rStyle w:val="310"/>
                <w:color w:val="auto"/>
                <w:lang w:val="en-US" w:eastAsia="zh-CN" w:bidi="ar"/>
              </w:rPr>
              <w:t>GB</w:t>
            </w:r>
            <w:r>
              <w:rPr>
                <w:rStyle w:val="308"/>
                <w:color w:val="auto"/>
                <w:lang w:val="en-US" w:eastAsia="zh-CN" w:bidi="ar"/>
              </w:rPr>
              <w:t>。提供3年硬件维保服务及特征库升级。</w:t>
            </w:r>
            <w:r>
              <w:rPr>
                <w:rStyle w:val="308"/>
                <w:color w:val="auto"/>
                <w:lang w:val="en-US" w:eastAsia="zh-CN" w:bidi="ar"/>
              </w:rPr>
              <w:br w:type="textWrapping"/>
            </w:r>
            <w:r>
              <w:rPr>
                <w:rStyle w:val="308"/>
                <w:color w:val="auto"/>
                <w:lang w:val="en-US" w:eastAsia="zh-CN" w:bidi="ar"/>
              </w:rPr>
              <w:t>3.要求设备漏洞知识库支持自定义编辑，可编辑漏洞描述、修复建议、漏洞等级等内容，在扫描结果和导出报告中应展示编辑后的内容。</w:t>
            </w:r>
            <w:r>
              <w:rPr>
                <w:rStyle w:val="308"/>
                <w:color w:val="auto"/>
                <w:lang w:val="en-US" w:eastAsia="zh-CN" w:bidi="ar"/>
              </w:rPr>
              <w:br w:type="textWrapping"/>
            </w:r>
            <w:r>
              <w:rPr>
                <w:rStyle w:val="308"/>
                <w:color w:val="auto"/>
                <w:lang w:val="en-US" w:eastAsia="zh-CN" w:bidi="ar"/>
              </w:rPr>
              <w:t>4.要求支持复制扫描任务。可同参数再次执行，也可修改测扫描平台部分参数再次执行，方便任务快速创建与执行。</w:t>
            </w:r>
            <w:r>
              <w:rPr>
                <w:rStyle w:val="308"/>
                <w:color w:val="auto"/>
                <w:lang w:val="en-US" w:eastAsia="zh-CN" w:bidi="ar"/>
              </w:rPr>
              <w:br w:type="textWrapping"/>
            </w:r>
            <w:r>
              <w:rPr>
                <w:rStyle w:val="308"/>
                <w:color w:val="auto"/>
                <w:lang w:val="en-US" w:eastAsia="zh-CN" w:bidi="ar"/>
              </w:rPr>
              <w:t>5.要求支持同任务多次执行，能对历史任务进行对比分析，直观展示漏洞数、风险等级等维度变化情况。</w:t>
            </w:r>
            <w:r>
              <w:rPr>
                <w:rStyle w:val="308"/>
                <w:color w:val="auto"/>
                <w:lang w:val="en-US" w:eastAsia="zh-CN" w:bidi="ar"/>
              </w:rPr>
              <w:br w:type="textWrapping"/>
            </w:r>
            <w:r>
              <w:rPr>
                <w:rStyle w:val="308"/>
                <w:rFonts w:hint="eastAsia"/>
                <w:color w:val="auto"/>
                <w:lang w:val="en-US" w:eastAsia="zh-CN" w:bidi="ar"/>
              </w:rPr>
              <w:t>6</w:t>
            </w:r>
            <w:r>
              <w:rPr>
                <w:rStyle w:val="308"/>
                <w:color w:val="auto"/>
                <w:lang w:val="en-US" w:eastAsia="zh-CN" w:bidi="ar"/>
              </w:rPr>
              <w:t>.厂商漏洞特征库大于260000条；提供详细的漏洞描述和对应的解决方案描述；漏洞知识库与CVE、CNNVD、Bugtraq、CNCVE、CNVD等国际、国内漏洞库标准兼容。</w:t>
            </w:r>
            <w:r>
              <w:rPr>
                <w:rStyle w:val="308"/>
                <w:color w:val="auto"/>
                <w:lang w:val="en-US" w:eastAsia="zh-CN" w:bidi="ar"/>
              </w:rPr>
              <w:br w:type="textWrapping"/>
            </w:r>
            <w:r>
              <w:rPr>
                <w:rStyle w:val="308"/>
                <w:rFonts w:hint="eastAsia"/>
                <w:color w:val="auto"/>
                <w:lang w:val="en-US" w:eastAsia="zh-CN" w:bidi="ar"/>
              </w:rPr>
              <w:t>7</w:t>
            </w:r>
            <w:r>
              <w:rPr>
                <w:rStyle w:val="308"/>
                <w:color w:val="auto"/>
                <w:lang w:val="en-US" w:eastAsia="zh-CN" w:bidi="ar"/>
              </w:rPr>
              <w:t>.要求支持对各种网络主机、操作系统、网络设备(如交换机、路由器、防火墙等)、常用软件以及应用系统的识别和漏洞扫描。</w:t>
            </w:r>
            <w:r>
              <w:rPr>
                <w:rStyle w:val="308"/>
                <w:color w:val="auto"/>
                <w:lang w:val="en-US" w:eastAsia="zh-CN" w:bidi="ar"/>
              </w:rPr>
              <w:br w:type="textWrapping"/>
            </w:r>
            <w:r>
              <w:rPr>
                <w:rStyle w:val="308"/>
                <w:rFonts w:hint="eastAsia"/>
                <w:color w:val="auto"/>
                <w:lang w:val="en-US" w:eastAsia="zh-CN" w:bidi="ar"/>
              </w:rPr>
              <w:t>8</w:t>
            </w:r>
            <w:r>
              <w:rPr>
                <w:rStyle w:val="308"/>
                <w:color w:val="auto"/>
                <w:lang w:val="en-US" w:eastAsia="zh-CN" w:bidi="ar"/>
              </w:rPr>
              <w:t>.具备弱口令扫描功能，支持弱口令扫描协议，包括FTP、SMB、RDP、SSH、TELNET、SMTP、IMAP、POP3、Oracle、MySQL、MSSQL、DB2、REDIS、MongoDB、Sybase、R1ogin、RTSP、SIP、Onvif、Weblogic、Tomcat、SNMP等协议进行弱口令扫描，允许用户自定义用户、密码字典。</w:t>
            </w:r>
            <w:r>
              <w:rPr>
                <w:rStyle w:val="308"/>
                <w:color w:val="auto"/>
                <w:lang w:val="en-US" w:eastAsia="zh-CN" w:bidi="ar"/>
              </w:rPr>
              <w:br w:type="textWrapping"/>
            </w:r>
            <w:r>
              <w:rPr>
                <w:rStyle w:val="308"/>
                <w:rFonts w:hint="eastAsia"/>
                <w:color w:val="auto"/>
                <w:lang w:val="en-US" w:eastAsia="zh-CN" w:bidi="ar"/>
              </w:rPr>
              <w:t>9</w:t>
            </w:r>
            <w:r>
              <w:rPr>
                <w:rStyle w:val="308"/>
                <w:color w:val="auto"/>
                <w:lang w:val="en-US" w:eastAsia="zh-CN" w:bidi="ar"/>
              </w:rPr>
              <w:t>.同IP不同端口同漏洞的结果应明确给予端口标识。</w:t>
            </w:r>
            <w:r>
              <w:rPr>
                <w:rStyle w:val="308"/>
                <w:color w:val="auto"/>
                <w:lang w:val="en-US" w:eastAsia="zh-CN" w:bidi="ar"/>
              </w:rPr>
              <w:br w:type="textWrapping"/>
            </w:r>
            <w:r>
              <w:rPr>
                <w:rStyle w:val="308"/>
                <w:color w:val="auto"/>
                <w:lang w:val="en-US" w:eastAsia="zh-CN" w:bidi="ar"/>
              </w:rPr>
              <w:t>1</w:t>
            </w:r>
            <w:r>
              <w:rPr>
                <w:rStyle w:val="308"/>
                <w:rFonts w:hint="eastAsia"/>
                <w:color w:val="auto"/>
                <w:lang w:val="en-US" w:eastAsia="zh-CN" w:bidi="ar"/>
              </w:rPr>
              <w:t>0</w:t>
            </w:r>
            <w:r>
              <w:rPr>
                <w:rStyle w:val="308"/>
                <w:color w:val="auto"/>
                <w:lang w:val="en-US" w:eastAsia="zh-CN" w:bidi="ar"/>
              </w:rPr>
              <w:t>.要求支持将漏洞以紧急、高危、中危、低危、信息进行危害程度的分类，并且可根据用户需要自定义漏洞等级。要求支持授权管理，对已知用户名和密码的资产可预先进行配置存放至授权管理模块，下发扫描任务时能对该部分资产的授权信息进行同步。</w:t>
            </w:r>
            <w:r>
              <w:rPr>
                <w:rStyle w:val="308"/>
                <w:color w:val="auto"/>
                <w:lang w:val="en-US" w:eastAsia="zh-CN" w:bidi="ar"/>
              </w:rPr>
              <w:br w:type="textWrapping"/>
            </w:r>
            <w:r>
              <w:rPr>
                <w:rStyle w:val="308"/>
                <w:color w:val="auto"/>
                <w:lang w:val="en-US" w:eastAsia="zh-CN" w:bidi="ar"/>
              </w:rPr>
              <w:t>1</w:t>
            </w:r>
            <w:r>
              <w:rPr>
                <w:rStyle w:val="308"/>
                <w:rFonts w:hint="eastAsia"/>
                <w:color w:val="auto"/>
                <w:lang w:val="en-US" w:eastAsia="zh-CN" w:bidi="ar"/>
              </w:rPr>
              <w:t>1</w:t>
            </w:r>
            <w:r>
              <w:rPr>
                <w:rStyle w:val="308"/>
                <w:color w:val="auto"/>
                <w:lang w:val="en-US" w:eastAsia="zh-CN" w:bidi="ar"/>
              </w:rPr>
              <w:t>.支持常见Web漏洞类型的扫描，包括SQL注入、跨站脚本、命令执行、命令注入、代码注入、弱口令、目录遍历、URL跳转、文件包含、反序列化漏洞、文件上传、CSRF跨站请求伪造、信息泄露等。支持0WASPTOP10等主流安全漏洞。13.支持Oracle、MySQL、SQLServer、DB2、Informix、PostgreSQL、Sybase、达梦、人大金仓的授权数据库漏洞扫描。要求支持导出的报告类型，包括HTML、WORD、EXCEL、XML、PDF报告格式。</w:t>
            </w:r>
            <w:r>
              <w:rPr>
                <w:rStyle w:val="308"/>
                <w:color w:val="auto"/>
                <w:lang w:val="en-US" w:eastAsia="zh-CN" w:bidi="ar"/>
              </w:rPr>
              <w:br w:type="textWrapping"/>
            </w:r>
            <w:r>
              <w:rPr>
                <w:rStyle w:val="308"/>
                <w:color w:val="auto"/>
                <w:lang w:val="en-US" w:eastAsia="zh-CN" w:bidi="ar"/>
              </w:rPr>
              <w:t>1</w:t>
            </w:r>
            <w:r>
              <w:rPr>
                <w:rStyle w:val="308"/>
                <w:rFonts w:hint="eastAsia"/>
                <w:color w:val="auto"/>
                <w:lang w:val="en-US" w:eastAsia="zh-CN" w:bidi="ar"/>
              </w:rPr>
              <w:t>2</w:t>
            </w:r>
            <w:r>
              <w:rPr>
                <w:rStyle w:val="308"/>
                <w:color w:val="auto"/>
                <w:lang w:val="en-US" w:eastAsia="zh-CN" w:bidi="ar"/>
              </w:rPr>
              <w:t>.授权特征库升级：3年</w:t>
            </w:r>
            <w:r>
              <w:rPr>
                <w:rStyle w:val="308"/>
                <w:color w:val="auto"/>
                <w:lang w:val="en-US" w:eastAsia="zh-CN" w:bidi="ar"/>
              </w:rPr>
              <w:br w:type="textWrapping"/>
            </w:r>
            <w:r>
              <w:rPr>
                <w:rStyle w:val="308"/>
                <w:color w:val="auto"/>
                <w:lang w:val="en-US" w:eastAsia="zh-CN" w:bidi="ar"/>
              </w:rPr>
              <w:t>1</w:t>
            </w:r>
            <w:r>
              <w:rPr>
                <w:rStyle w:val="308"/>
                <w:rFonts w:hint="eastAsia"/>
                <w:color w:val="auto"/>
                <w:lang w:val="en-US" w:eastAsia="zh-CN" w:bidi="ar"/>
              </w:rPr>
              <w:t>3</w:t>
            </w:r>
            <w:r>
              <w:rPr>
                <w:rStyle w:val="308"/>
                <w:color w:val="auto"/>
                <w:lang w:val="en-US" w:eastAsia="zh-CN" w:bidi="ar"/>
              </w:rPr>
              <w:t>.产品质保：3年</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CA7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65C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66539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79"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C86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2DCF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NTP时间同步服务平台</w:t>
            </w:r>
          </w:p>
        </w:tc>
        <w:tc>
          <w:tcPr>
            <w:tcW w:w="3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588B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1.支持NTP网络协议，支持GPS、北斗卫星精准校时，支持多网段校时，网口：8个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2.产品质保：3年</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209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AF1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2ABAE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64"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CC1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8C13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杀毒软件</w:t>
            </w:r>
          </w:p>
        </w:tc>
        <w:tc>
          <w:tcPr>
            <w:tcW w:w="3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CAD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309"/>
                <w:lang w:val="en-US" w:eastAsia="zh-CN" w:bidi="ar"/>
              </w:rPr>
              <w:t>1.支持主流操作系统，包括国产化操作系统。</w:t>
            </w:r>
            <w:r>
              <w:rPr>
                <w:rStyle w:val="309"/>
                <w:lang w:val="en-US" w:eastAsia="zh-CN" w:bidi="ar"/>
              </w:rPr>
              <w:br w:type="textWrapping"/>
            </w:r>
            <w:r>
              <w:rPr>
                <w:rStyle w:val="309"/>
                <w:lang w:val="en-US" w:eastAsia="zh-CN" w:bidi="ar"/>
              </w:rPr>
              <w:t>2.支持不少于100个服务端及400个客户终端。</w:t>
            </w:r>
            <w:r>
              <w:rPr>
                <w:rStyle w:val="309"/>
                <w:lang w:val="en-US" w:eastAsia="zh-CN" w:bidi="ar"/>
              </w:rPr>
              <w:br w:type="textWrapping"/>
            </w:r>
            <w:r>
              <w:rPr>
                <w:rStyle w:val="309"/>
                <w:lang w:val="en-US" w:eastAsia="zh-CN" w:bidi="ar"/>
              </w:rPr>
              <w:t>3.终端基于虚拟沙盒环境与通用脱壳技术实现对病毒的有效识别，将病毒防御、系统防御、网络防御和访问控制四大模块深度协作运行，构建主动防御入侵系统，为全网终端保驾护航。</w:t>
            </w:r>
            <w:r>
              <w:rPr>
                <w:rStyle w:val="309"/>
                <w:lang w:val="en-US" w:eastAsia="zh-CN" w:bidi="ar"/>
              </w:rPr>
              <w:br w:type="textWrapping"/>
            </w:r>
            <w:r>
              <w:rPr>
                <w:rStyle w:val="309"/>
                <w:lang w:val="en-US" w:eastAsia="zh-CN" w:bidi="ar"/>
              </w:rPr>
              <w:t>4.可统计全网操作系统版本信息、安装时间、激活状态且具有操作系统占比可视化数据图。</w:t>
            </w:r>
            <w:r>
              <w:rPr>
                <w:rStyle w:val="309"/>
                <w:lang w:val="en-US" w:eastAsia="zh-CN" w:bidi="ar"/>
              </w:rPr>
              <w:br w:type="textWrapping"/>
            </w:r>
            <w:r>
              <w:rPr>
                <w:rStyle w:val="309"/>
                <w:lang w:val="en-US" w:eastAsia="zh-CN" w:bidi="ar"/>
              </w:rPr>
              <w:t>5.支持热补丁机制，利用产品自身防御功能，防护其他软件以及系统出现的漏洞，阻止对计算机造成损害与入侵。</w:t>
            </w:r>
            <w:r>
              <w:rPr>
                <w:rStyle w:val="309"/>
                <w:lang w:val="en-US" w:eastAsia="zh-CN" w:bidi="ar"/>
              </w:rPr>
              <w:br w:type="textWrapping"/>
            </w:r>
            <w:r>
              <w:rPr>
                <w:rStyle w:val="309"/>
                <w:lang w:val="en-US" w:eastAsia="zh-CN" w:bidi="ar"/>
              </w:rPr>
              <w:t>6.支持勒索病毒诱捕，可在根目录生成txt、pem、sql、xlsx、mdb、jpg、rtf、xls、doc、docx等格式的诱捕文件，当出现勒索行为，对其进行捕获并进行隔离.</w:t>
            </w:r>
            <w:r>
              <w:rPr>
                <w:rStyle w:val="309"/>
                <w:lang w:val="en-US" w:eastAsia="zh-CN" w:bidi="ar"/>
              </w:rPr>
              <w:br w:type="textWrapping"/>
            </w:r>
            <w:r>
              <w:rPr>
                <w:rStyle w:val="309"/>
                <w:lang w:val="en-US" w:eastAsia="zh-CN" w:bidi="ar"/>
              </w:rPr>
              <w:t>7.支持恶意行为监控，通过监控程序运行过程中是否存在恶意操作来判断程序是否安全，从而可以作为传统特征查杀的补充，极大提升电脑反病毒能力。</w:t>
            </w:r>
            <w:r>
              <w:rPr>
                <w:rStyle w:val="309"/>
                <w:lang w:val="en-US" w:eastAsia="zh-CN" w:bidi="ar"/>
              </w:rPr>
              <w:br w:type="textWrapping"/>
            </w:r>
            <w:r>
              <w:rPr>
                <w:rStyle w:val="309"/>
                <w:lang w:val="en-US" w:eastAsia="zh-CN" w:bidi="ar"/>
              </w:rPr>
              <w:t>8.支持暴破攻击防护，阻止黑客通过SMBv1、SMBv2、RPC、SQLServer、PDP协议进行暴力破解攻击。</w:t>
            </w:r>
            <w:r>
              <w:rPr>
                <w:rStyle w:val="309"/>
                <w:lang w:val="en-US" w:eastAsia="zh-CN" w:bidi="ar"/>
              </w:rPr>
              <w:br w:type="textWrapping"/>
            </w:r>
            <w:r>
              <w:rPr>
                <w:rStyle w:val="309"/>
                <w:lang w:val="en-US" w:eastAsia="zh-CN" w:bidi="ar"/>
              </w:rPr>
              <w:t>9.支持横向渗透防护，防护内网中已中毒机器感染其他主机，阻止横向传播、病毒以及木马的扩散防护项包括默认共享访问、远程服务创建、远程计划任务创建、远程注册表篡改、远程MMC调用、远程DCOM调用、远程WMI调用有效阻止病毒横向渗透。</w:t>
            </w:r>
            <w:r>
              <w:rPr>
                <w:rStyle w:val="309"/>
                <w:lang w:val="en-US" w:eastAsia="zh-CN" w:bidi="ar"/>
              </w:rPr>
              <w:br w:type="textWrapping"/>
            </w:r>
            <w:r>
              <w:rPr>
                <w:rStyle w:val="309"/>
                <w:lang w:val="en-US" w:eastAsia="zh-CN" w:bidi="ar"/>
              </w:rPr>
              <w:t>10.支持导出安全分析报告，对当前中心进行安全状况分析并生成分析报告，可按照最近7天、最近30天、最近一年等时间范围生成报告，也可自定义时间范围生成报告；安全报告支持邮件订阅功能，可给管理员配置订阅功能。</w:t>
            </w:r>
            <w:r>
              <w:rPr>
                <w:rStyle w:val="309"/>
                <w:lang w:val="en-US" w:eastAsia="zh-CN" w:bidi="ar"/>
              </w:rPr>
              <w:br w:type="textWrapping"/>
            </w:r>
            <w:r>
              <w:rPr>
                <w:rStyle w:val="309"/>
                <w:lang w:val="en-US" w:eastAsia="zh-CN" w:bidi="ar"/>
              </w:rPr>
              <w:t>11.支持自动拦截方式，手动截图拦截方式，可拦截流氓、广告、以及恶意弹窗等。</w:t>
            </w:r>
            <w:r>
              <w:rPr>
                <w:rStyle w:val="309"/>
                <w:lang w:val="en-US" w:eastAsia="zh-CN" w:bidi="ar"/>
              </w:rPr>
              <w:br w:type="textWrapping"/>
            </w:r>
            <w:r>
              <w:rPr>
                <w:rStyle w:val="309"/>
                <w:lang w:val="en-US" w:eastAsia="zh-CN" w:bidi="ar"/>
              </w:rPr>
              <w:t>12.支持终端动态口令验证功能，当终端用户登录计算机时都将弹出动态口令安全认证窗口，若用户设置了计算机密码，该弹窗将在用户输入正确的账户密码后弹出用户需再次输入正确的动态口令才可登入计算机且可设置应用范围：远程登录时启用或本地登录时启用。</w:t>
            </w:r>
            <w:r>
              <w:rPr>
                <w:rStyle w:val="309"/>
                <w:lang w:val="en-US" w:eastAsia="zh-CN" w:bidi="ar"/>
              </w:rPr>
              <w:br w:type="textWrapping"/>
            </w:r>
            <w:r>
              <w:rPr>
                <w:rStyle w:val="309"/>
                <w:lang w:val="en-US" w:eastAsia="zh-CN" w:bidi="ar"/>
              </w:rPr>
              <w:t>13.支持违规外联设置，探测终端用户是否有违规连接外部网络的行为。</w:t>
            </w:r>
            <w:r>
              <w:rPr>
                <w:rStyle w:val="309"/>
                <w:lang w:val="en-US" w:eastAsia="zh-CN" w:bidi="ar"/>
              </w:rPr>
              <w:br w:type="textWrapping"/>
            </w:r>
            <w:r>
              <w:rPr>
                <w:rStyle w:val="309"/>
                <w:color w:val="FF0000"/>
                <w:highlight w:val="yellow"/>
                <w:lang w:val="en-US" w:eastAsia="zh-CN" w:bidi="ar"/>
              </w:rPr>
              <w:t>14.支持软件禁用功能，可以设置使用违规软件的处理方式，包括记录、提示卸载以及隔离，可添加软件黑白名单设置软件是否可用。</w:t>
            </w:r>
            <w:r>
              <w:rPr>
                <w:rStyle w:val="309"/>
                <w:color w:val="FF0000"/>
                <w:highlight w:val="yellow"/>
                <w:lang w:val="en-US" w:eastAsia="zh-CN" w:bidi="ar"/>
              </w:rPr>
              <w:br w:type="textWrapping"/>
            </w:r>
            <w:r>
              <w:rPr>
                <w:rStyle w:val="308"/>
                <w:color w:val="FF0000"/>
                <w:highlight w:val="yellow"/>
                <w:lang w:val="en-US" w:eastAsia="zh-CN" w:bidi="ar"/>
              </w:rPr>
              <w:t>1</w:t>
            </w:r>
            <w:r>
              <w:rPr>
                <w:rStyle w:val="308"/>
                <w:rFonts w:hint="eastAsia"/>
                <w:color w:val="FF0000"/>
                <w:highlight w:val="yellow"/>
                <w:lang w:val="en-US" w:eastAsia="zh-CN" w:bidi="ar"/>
              </w:rPr>
              <w:t>5</w:t>
            </w:r>
            <w:r>
              <w:rPr>
                <w:rStyle w:val="308"/>
                <w:color w:val="FF0000"/>
                <w:highlight w:val="yellow"/>
                <w:lang w:val="en-US" w:eastAsia="zh-CN" w:bidi="ar"/>
              </w:rPr>
              <w:t>.支持病毒库1年不少于2次的不定期升级。</w:t>
            </w:r>
            <w:r>
              <w:rPr>
                <w:rStyle w:val="308"/>
                <w:lang w:val="en-US" w:eastAsia="zh-CN" w:bidi="ar"/>
              </w:rPr>
              <w:br w:type="textWrapping"/>
            </w:r>
            <w:r>
              <w:rPr>
                <w:rStyle w:val="308"/>
                <w:lang w:val="en-US" w:eastAsia="zh-CN" w:bidi="ar"/>
              </w:rPr>
              <w:t>1</w:t>
            </w:r>
            <w:r>
              <w:rPr>
                <w:rStyle w:val="308"/>
                <w:rFonts w:hint="eastAsia"/>
                <w:lang w:val="en-US" w:eastAsia="zh-CN" w:bidi="ar"/>
              </w:rPr>
              <w:t>6</w:t>
            </w:r>
            <w:r>
              <w:rPr>
                <w:rStyle w:val="308"/>
                <w:lang w:val="en-US" w:eastAsia="zh-CN" w:bidi="ar"/>
              </w:rPr>
              <w:t>.不少于3年的病毒库免费升级服务。</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495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2B9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25D38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796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4378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桌面可管理系统</w:t>
            </w:r>
          </w:p>
        </w:tc>
        <w:tc>
          <w:tcPr>
            <w:tcW w:w="3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E402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308"/>
                <w:lang w:val="en-US" w:eastAsia="zh-CN" w:bidi="ar"/>
              </w:rPr>
              <w:t>具备高级威胁防护模块，搭载基于ATT&amp;CK入侵威胁防护、无文件攻击防护能力，专门应对实战化攻防场景。</w:t>
            </w:r>
            <w:r>
              <w:rPr>
                <w:rStyle w:val="308"/>
                <w:lang w:val="en-US" w:eastAsia="zh-CN" w:bidi="ar"/>
              </w:rPr>
              <w:br w:type="textWrapping"/>
            </w:r>
            <w:r>
              <w:rPr>
                <w:rStyle w:val="308"/>
                <w:color w:val="FF0000"/>
                <w:highlight w:val="yellow"/>
                <w:lang w:val="en-US" w:eastAsia="zh-CN" w:bidi="ar"/>
              </w:rPr>
              <w:t>配合主动防御技术能够第一时间阻断恶意代码的运行，保障用户主机安全环境的合规、安全。可实现远程桌面管理。支持不少于500套桌面管理。</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A95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502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bl>
    <w:p w14:paraId="27CB5DB0">
      <w:pPr>
        <w:pStyle w:val="2"/>
        <w:bidi w:val="0"/>
      </w:pPr>
      <w:r>
        <w:rPr>
          <w:rFonts w:hint="eastAsia"/>
        </w:rPr>
        <w:t>云资源（租赁）</w:t>
      </w:r>
    </w:p>
    <w:tbl>
      <w:tblPr>
        <w:tblStyle w:val="43"/>
        <w:tblpPr w:leftFromText="180" w:rightFromText="180" w:vertAnchor="text" w:horzAnchor="page" w:tblpX="1594"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2"/>
        <w:gridCol w:w="1190"/>
        <w:gridCol w:w="5166"/>
        <w:gridCol w:w="922"/>
        <w:gridCol w:w="820"/>
      </w:tblGrid>
      <w:tr w14:paraId="071B3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7" w:hRule="atLeast"/>
        </w:trPr>
        <w:tc>
          <w:tcPr>
            <w:tcW w:w="9060" w:type="dxa"/>
            <w:gridSpan w:val="5"/>
            <w:vAlign w:val="center"/>
          </w:tcPr>
          <w:p w14:paraId="49D6DE8C">
            <w:pPr>
              <w:widowControl/>
              <w:spacing w:line="240" w:lineRule="auto"/>
              <w:jc w:val="center"/>
              <w:rPr>
                <w:rFonts w:ascii="宋体" w:hAnsi="宋体"/>
                <w:szCs w:val="20"/>
              </w:rPr>
            </w:pPr>
            <w:r>
              <w:rPr>
                <w:rFonts w:hint="eastAsia" w:ascii="宋体" w:hAnsi="宋体"/>
                <w:szCs w:val="20"/>
              </w:rPr>
              <w:t>云资源（租赁）</w:t>
            </w:r>
          </w:p>
        </w:tc>
      </w:tr>
      <w:tr w14:paraId="4D840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2D317673">
            <w:pPr>
              <w:pStyle w:val="70"/>
              <w:widowControl/>
              <w:spacing w:line="240" w:lineRule="auto"/>
              <w:ind w:firstLine="0" w:firstLineChars="0"/>
              <w:jc w:val="center"/>
              <w:rPr>
                <w:szCs w:val="20"/>
              </w:rPr>
            </w:pPr>
            <w:r>
              <w:rPr>
                <w:rFonts w:hint="eastAsia"/>
                <w:szCs w:val="20"/>
              </w:rPr>
              <w:t>序号</w:t>
            </w:r>
          </w:p>
        </w:tc>
        <w:tc>
          <w:tcPr>
            <w:tcW w:w="1190" w:type="dxa"/>
            <w:vAlign w:val="center"/>
          </w:tcPr>
          <w:p w14:paraId="0A3FBF6D">
            <w:pPr>
              <w:widowControl/>
              <w:spacing w:line="240" w:lineRule="auto"/>
              <w:jc w:val="center"/>
              <w:rPr>
                <w:rFonts w:ascii="宋体" w:hAnsi="宋体"/>
                <w:szCs w:val="20"/>
              </w:rPr>
            </w:pPr>
            <w:r>
              <w:rPr>
                <w:rFonts w:hint="eastAsia" w:ascii="宋体" w:hAnsi="宋体"/>
                <w:szCs w:val="20"/>
              </w:rPr>
              <w:t>设备名称</w:t>
            </w:r>
          </w:p>
        </w:tc>
        <w:tc>
          <w:tcPr>
            <w:tcW w:w="5166" w:type="dxa"/>
            <w:vAlign w:val="center"/>
          </w:tcPr>
          <w:p w14:paraId="2EED4A7B">
            <w:pPr>
              <w:widowControl/>
              <w:jc w:val="center"/>
              <w:textAlignment w:val="center"/>
              <w:rPr>
                <w:rFonts w:ascii="宋体" w:hAnsi="宋体"/>
                <w:szCs w:val="20"/>
              </w:rPr>
            </w:pPr>
            <w:r>
              <w:rPr>
                <w:rFonts w:hint="eastAsia" w:ascii="宋体" w:hAnsi="宋体"/>
                <w:szCs w:val="20"/>
              </w:rPr>
              <w:t>主要性能指标</w:t>
            </w:r>
          </w:p>
        </w:tc>
        <w:tc>
          <w:tcPr>
            <w:tcW w:w="922" w:type="dxa"/>
            <w:vAlign w:val="center"/>
          </w:tcPr>
          <w:p w14:paraId="089BB637">
            <w:pPr>
              <w:widowControl/>
              <w:spacing w:line="240" w:lineRule="auto"/>
              <w:jc w:val="center"/>
              <w:rPr>
                <w:rFonts w:ascii="宋体" w:hAnsi="宋体"/>
                <w:szCs w:val="20"/>
              </w:rPr>
            </w:pPr>
            <w:r>
              <w:rPr>
                <w:rFonts w:hint="eastAsia" w:ascii="宋体" w:hAnsi="宋体"/>
                <w:szCs w:val="20"/>
              </w:rPr>
              <w:t>数量</w:t>
            </w:r>
          </w:p>
        </w:tc>
        <w:tc>
          <w:tcPr>
            <w:tcW w:w="820" w:type="dxa"/>
            <w:vAlign w:val="center"/>
          </w:tcPr>
          <w:p w14:paraId="5138114A">
            <w:pPr>
              <w:widowControl/>
              <w:spacing w:line="240" w:lineRule="auto"/>
              <w:jc w:val="center"/>
              <w:rPr>
                <w:rFonts w:ascii="宋体" w:hAnsi="宋体"/>
                <w:szCs w:val="20"/>
              </w:rPr>
            </w:pPr>
            <w:r>
              <w:rPr>
                <w:rFonts w:hint="eastAsia" w:ascii="宋体" w:hAnsi="宋体"/>
                <w:szCs w:val="20"/>
              </w:rPr>
              <w:t>单位</w:t>
            </w:r>
          </w:p>
        </w:tc>
      </w:tr>
      <w:tr w14:paraId="0D3FE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0153CC36">
            <w:pPr>
              <w:pStyle w:val="70"/>
              <w:widowControl/>
              <w:numPr>
                <w:ilvl w:val="0"/>
                <w:numId w:val="56"/>
              </w:numPr>
              <w:spacing w:line="240" w:lineRule="auto"/>
              <w:ind w:firstLineChars="0"/>
              <w:rPr>
                <w:szCs w:val="20"/>
              </w:rPr>
            </w:pPr>
          </w:p>
        </w:tc>
        <w:tc>
          <w:tcPr>
            <w:tcW w:w="1190" w:type="dxa"/>
            <w:vAlign w:val="center"/>
          </w:tcPr>
          <w:p w14:paraId="35AD17B2">
            <w:pPr>
              <w:widowControl/>
              <w:spacing w:line="240" w:lineRule="auto"/>
              <w:ind w:left="480" w:hanging="480" w:hangingChars="200"/>
              <w:rPr>
                <w:rFonts w:ascii="宋体" w:hAnsi="宋体"/>
                <w:szCs w:val="20"/>
              </w:rPr>
            </w:pPr>
            <w:r>
              <w:rPr>
                <w:rFonts w:hint="eastAsia" w:ascii="宋体" w:hAnsi="宋体"/>
                <w:szCs w:val="20"/>
              </w:rPr>
              <w:t>医共体信息平台云资源</w:t>
            </w:r>
          </w:p>
        </w:tc>
        <w:tc>
          <w:tcPr>
            <w:tcW w:w="5166" w:type="dxa"/>
            <w:shd w:val="clear" w:color="auto" w:fill="auto"/>
            <w:vAlign w:val="center"/>
          </w:tcPr>
          <w:p w14:paraId="49CC39A5">
            <w:pPr>
              <w:widowControl/>
              <w:jc w:val="left"/>
              <w:textAlignment w:val="center"/>
              <w:rPr>
                <w:rFonts w:ascii="宋体" w:hAnsi="宋体"/>
                <w:szCs w:val="20"/>
              </w:rPr>
            </w:pPr>
            <w:r>
              <w:rPr>
                <w:rFonts w:hint="eastAsia" w:ascii="宋体" w:hAnsi="宋体"/>
                <w:szCs w:val="20"/>
              </w:rPr>
              <w:t>Cpu</w:t>
            </w:r>
            <w:r>
              <w:rPr>
                <w:rFonts w:ascii="宋体" w:hAnsi="宋体"/>
                <w:szCs w:val="20"/>
              </w:rPr>
              <w:t>≥</w:t>
            </w:r>
            <w:r>
              <w:rPr>
                <w:rFonts w:hint="eastAsia" w:ascii="宋体" w:hAnsi="宋体"/>
                <w:szCs w:val="20"/>
              </w:rPr>
              <w:t>235核  内存</w:t>
            </w:r>
            <w:r>
              <w:rPr>
                <w:rFonts w:ascii="宋体" w:hAnsi="宋体"/>
                <w:szCs w:val="20"/>
              </w:rPr>
              <w:t>≥</w:t>
            </w:r>
            <w:r>
              <w:rPr>
                <w:rFonts w:hint="eastAsia" w:ascii="宋体" w:hAnsi="宋体"/>
                <w:szCs w:val="20"/>
              </w:rPr>
              <w:t>585G  系统盘及数据盘合计</w:t>
            </w:r>
            <w:r>
              <w:rPr>
                <w:rFonts w:ascii="宋体" w:hAnsi="宋体"/>
                <w:szCs w:val="20"/>
              </w:rPr>
              <w:t>≥</w:t>
            </w:r>
            <w:r>
              <w:rPr>
                <w:rFonts w:hint="eastAsia" w:ascii="宋体" w:hAnsi="宋体"/>
                <w:szCs w:val="20"/>
              </w:rPr>
              <w:t>21T.</w:t>
            </w:r>
          </w:p>
          <w:p w14:paraId="1F3CBB15">
            <w:pPr>
              <w:widowControl/>
              <w:jc w:val="left"/>
              <w:textAlignment w:val="center"/>
              <w:rPr>
                <w:rFonts w:ascii="宋体" w:hAnsi="宋体"/>
                <w:szCs w:val="20"/>
              </w:rPr>
            </w:pPr>
            <w:r>
              <w:rPr>
                <w:rFonts w:hint="eastAsia" w:ascii="宋体" w:hAnsi="宋体"/>
                <w:szCs w:val="20"/>
              </w:rPr>
              <w:t>虚拟化云主机</w:t>
            </w:r>
          </w:p>
          <w:p w14:paraId="7FFB0407">
            <w:pPr>
              <w:widowControl/>
              <w:jc w:val="left"/>
              <w:textAlignment w:val="center"/>
              <w:rPr>
                <w:rFonts w:hint="eastAsia" w:ascii="宋体" w:hAnsi="宋体"/>
                <w:szCs w:val="20"/>
                <w:highlight w:val="none"/>
              </w:rPr>
            </w:pPr>
            <w:r>
              <w:rPr>
                <w:rFonts w:hint="eastAsia" w:ascii="宋体" w:hAnsi="宋体"/>
                <w:szCs w:val="20"/>
                <w:highlight w:val="none"/>
              </w:rPr>
              <w:t>▲文件存储支持提供FTP服务协议；（需提供截图证明）</w:t>
            </w:r>
          </w:p>
          <w:p w14:paraId="05998A1A">
            <w:pPr>
              <w:widowControl/>
              <w:jc w:val="left"/>
              <w:textAlignment w:val="center"/>
              <w:rPr>
                <w:rFonts w:ascii="宋体" w:hAnsi="宋体"/>
                <w:szCs w:val="20"/>
              </w:rPr>
            </w:pPr>
            <w:r>
              <w:rPr>
                <w:rFonts w:hint="eastAsia" w:ascii="宋体" w:hAnsi="宋体"/>
                <w:szCs w:val="20"/>
              </w:rPr>
              <w:t>投标人所投的云平台兼容OpenStack架构，能够在云平台控制节点上执行openstack命令；（需提供截图证明）</w:t>
            </w:r>
          </w:p>
          <w:p w14:paraId="5001CCC5">
            <w:pPr>
              <w:rPr>
                <w:rFonts w:hint="eastAsia" w:ascii="宋体" w:hAnsi="宋体"/>
                <w:color w:val="FF0000"/>
                <w:szCs w:val="20"/>
                <w:highlight w:val="yellow"/>
              </w:rPr>
            </w:pPr>
            <w:r>
              <w:rPr>
                <w:rFonts w:hint="eastAsia" w:ascii="宋体" w:hAnsi="宋体"/>
                <w:color w:val="FF0000"/>
                <w:szCs w:val="20"/>
                <w:highlight w:val="yellow"/>
              </w:rPr>
              <w:t>投标人所投的云平台，用户在开通时根据需求选择合适的Raid类型，以满足不同的存储配置需求；</w:t>
            </w:r>
          </w:p>
          <w:p w14:paraId="36FF893F">
            <w:pPr>
              <w:rPr>
                <w:rFonts w:hint="eastAsia" w:ascii="宋体" w:hAnsi="宋体"/>
                <w:szCs w:val="20"/>
              </w:rPr>
            </w:pPr>
            <w:r>
              <w:rPr>
                <w:rFonts w:hint="eastAsia" w:ascii="宋体" w:hAnsi="宋体"/>
                <w:szCs w:val="20"/>
              </w:rPr>
              <w:t>云主机支持HA机制，提升云主机的可用度，允许云主机出现故障后能够检测和自动拉起，保证云主机业务快速恢复；</w:t>
            </w:r>
          </w:p>
          <w:p w14:paraId="6E4FB33B">
            <w:pPr>
              <w:widowControl/>
              <w:jc w:val="left"/>
              <w:textAlignment w:val="center"/>
              <w:rPr>
                <w:rFonts w:ascii="宋体" w:hAnsi="宋体"/>
                <w:color w:val="FF0000"/>
                <w:szCs w:val="20"/>
                <w:highlight w:val="yellow"/>
              </w:rPr>
            </w:pPr>
            <w:r>
              <w:rPr>
                <w:rFonts w:hint="eastAsia" w:ascii="宋体" w:hAnsi="宋体"/>
                <w:color w:val="FF0000"/>
                <w:szCs w:val="20"/>
                <w:highlight w:val="yellow"/>
              </w:rPr>
              <w:t>支持云主机内存负载监控，能够对内存负载进行查询，可精确计算云主机脏页速率(MB/S)；</w:t>
            </w:r>
          </w:p>
          <w:p w14:paraId="446BF091">
            <w:pPr>
              <w:widowControl/>
              <w:jc w:val="left"/>
              <w:textAlignment w:val="center"/>
              <w:rPr>
                <w:rFonts w:ascii="宋体" w:hAnsi="宋体"/>
                <w:color w:val="FF0000"/>
                <w:szCs w:val="20"/>
                <w:highlight w:val="yellow"/>
              </w:rPr>
            </w:pPr>
            <w:r>
              <w:rPr>
                <w:rFonts w:hint="eastAsia" w:ascii="宋体" w:hAnsi="宋体"/>
                <w:color w:val="FF0000"/>
                <w:szCs w:val="20"/>
                <w:highlight w:val="yellow"/>
              </w:rPr>
              <w:t>弹性伸缩支持健康检查时间间隔：5、15、60分钟；（需提供截图证明）</w:t>
            </w:r>
          </w:p>
          <w:p w14:paraId="3C299802">
            <w:pPr>
              <w:widowControl/>
              <w:jc w:val="left"/>
              <w:textAlignment w:val="center"/>
              <w:rPr>
                <w:rFonts w:hint="eastAsia" w:ascii="宋体" w:hAnsi="宋体"/>
                <w:color w:val="FF0000"/>
                <w:szCs w:val="20"/>
                <w:highlight w:val="yellow"/>
              </w:rPr>
            </w:pPr>
            <w:r>
              <w:rPr>
                <w:rFonts w:hint="eastAsia" w:ascii="宋体" w:hAnsi="宋体"/>
                <w:color w:val="FF0000"/>
                <w:szCs w:val="20"/>
                <w:highlight w:val="yellow"/>
              </w:rPr>
              <w:t>云主机具备统一的策略管理能力，支持云主机组功能，支持强制反亲和性、非强制反亲和性、支持云主机动态迁入/迁出云主机组。（需提供截图证明）</w:t>
            </w:r>
          </w:p>
          <w:p w14:paraId="73A5D4C9">
            <w:pPr>
              <w:widowControl/>
              <w:jc w:val="left"/>
              <w:textAlignment w:val="center"/>
              <w:rPr>
                <w:rFonts w:ascii="宋体" w:hAnsi="宋体"/>
                <w:szCs w:val="20"/>
              </w:rPr>
            </w:pPr>
            <w:r>
              <w:rPr>
                <w:rFonts w:hint="eastAsia" w:ascii="宋体" w:hAnsi="宋体"/>
                <w:szCs w:val="20"/>
              </w:rPr>
              <w:t>支持云主机热迁移，针对热迁移原理建模，可靠预估迁移时间。支持热迁移增强工具，提高热迁移成功率及热迁移网络中断时间&lt;500ms；</w:t>
            </w:r>
          </w:p>
          <w:p w14:paraId="384626C2">
            <w:pPr>
              <w:widowControl/>
              <w:jc w:val="left"/>
              <w:textAlignment w:val="center"/>
              <w:rPr>
                <w:rFonts w:ascii="宋体" w:hAnsi="宋体"/>
                <w:szCs w:val="20"/>
              </w:rPr>
            </w:pPr>
            <w:r>
              <w:rPr>
                <w:rFonts w:hint="eastAsia" w:ascii="宋体" w:hAnsi="宋体"/>
                <w:szCs w:val="20"/>
              </w:rPr>
              <w:t>单个云主机每服务周期服务可用率不低于99.975%；同一区域内多个可用区的弹性云主机每服务周期服务可用率不低于99.995%；</w:t>
            </w:r>
          </w:p>
          <w:p w14:paraId="400FD408">
            <w:pPr>
              <w:widowControl/>
              <w:jc w:val="left"/>
              <w:textAlignment w:val="center"/>
              <w:rPr>
                <w:rFonts w:ascii="宋体" w:hAnsi="宋体"/>
                <w:szCs w:val="20"/>
              </w:rPr>
            </w:pPr>
            <w:r>
              <w:rPr>
                <w:rFonts w:hint="eastAsia" w:ascii="宋体" w:hAnsi="宋体"/>
                <w:szCs w:val="20"/>
              </w:rPr>
              <w:t>支持弹性云主机热升配CPU和内存</w:t>
            </w:r>
          </w:p>
          <w:p w14:paraId="4DD7AB7B">
            <w:pPr>
              <w:widowControl/>
              <w:jc w:val="left"/>
              <w:textAlignment w:val="center"/>
              <w:rPr>
                <w:rFonts w:hint="eastAsia" w:ascii="宋体" w:hAnsi="宋体"/>
                <w:szCs w:val="20"/>
              </w:rPr>
            </w:pPr>
            <w:r>
              <w:rPr>
                <w:rFonts w:hint="eastAsia" w:ascii="宋体" w:hAnsi="宋体"/>
                <w:szCs w:val="20"/>
              </w:rPr>
              <w:t>云主机linux操作系统支持非root用户密码，windows操作系统支持非admin用户密码；（需提供截图证明）</w:t>
            </w:r>
          </w:p>
          <w:p w14:paraId="7B36B787">
            <w:pPr>
              <w:widowControl/>
              <w:jc w:val="left"/>
              <w:textAlignment w:val="center"/>
              <w:rPr>
                <w:rFonts w:ascii="宋体" w:hAnsi="宋体"/>
                <w:szCs w:val="20"/>
              </w:rPr>
            </w:pPr>
            <w:r>
              <w:rPr>
                <w:rFonts w:hint="eastAsia" w:ascii="宋体" w:hAnsi="宋体"/>
                <w:szCs w:val="20"/>
              </w:rPr>
              <w:t>云主机支持创建系统盘镜像、数据盘镜像；（需提供截图证明）</w:t>
            </w:r>
          </w:p>
          <w:p w14:paraId="2273F215">
            <w:pPr>
              <w:widowControl/>
              <w:jc w:val="left"/>
              <w:textAlignment w:val="center"/>
              <w:rPr>
                <w:rFonts w:ascii="宋体" w:hAnsi="宋体"/>
                <w:szCs w:val="20"/>
              </w:rPr>
            </w:pPr>
            <w:r>
              <w:rPr>
                <w:rFonts w:hint="eastAsia" w:ascii="宋体" w:hAnsi="宋体"/>
                <w:szCs w:val="20"/>
              </w:rPr>
              <w:t>分布式块存储（云硬盘）</w:t>
            </w:r>
          </w:p>
          <w:p w14:paraId="7ABE42DC">
            <w:pPr>
              <w:widowControl/>
              <w:jc w:val="left"/>
              <w:textAlignment w:val="center"/>
              <w:rPr>
                <w:rFonts w:ascii="宋体" w:hAnsi="宋体"/>
                <w:szCs w:val="20"/>
              </w:rPr>
            </w:pPr>
            <w:r>
              <w:rPr>
                <w:rFonts w:hint="eastAsia" w:ascii="宋体" w:hAnsi="宋体"/>
                <w:szCs w:val="20"/>
              </w:rPr>
              <w:t>通过云主机快照申请云主机；</w:t>
            </w:r>
          </w:p>
          <w:p w14:paraId="2B85C705">
            <w:pPr>
              <w:widowControl/>
              <w:jc w:val="left"/>
              <w:textAlignment w:val="center"/>
              <w:rPr>
                <w:rFonts w:hint="eastAsia" w:ascii="宋体" w:hAnsi="宋体"/>
                <w:szCs w:val="20"/>
              </w:rPr>
            </w:pPr>
            <w:r>
              <w:rPr>
                <w:rFonts w:hint="eastAsia" w:ascii="宋体" w:hAnsi="宋体"/>
                <w:szCs w:val="20"/>
              </w:rPr>
              <w:t>支持云主机快照，包括创建整机快照，支持快照恢复、删除，支持云主机快照策略，定时创建快照；（需提供截图证明）</w:t>
            </w:r>
          </w:p>
          <w:p w14:paraId="60595F4E">
            <w:pPr>
              <w:widowControl/>
              <w:jc w:val="left"/>
              <w:textAlignment w:val="center"/>
              <w:rPr>
                <w:rFonts w:ascii="宋体" w:hAnsi="宋体"/>
                <w:szCs w:val="20"/>
              </w:rPr>
            </w:pPr>
            <w:r>
              <w:rPr>
                <w:rFonts w:hint="eastAsia" w:ascii="宋体" w:hAnsi="宋体"/>
                <w:szCs w:val="20"/>
              </w:rPr>
              <w:t>投标人所投的云平台支持批量删除自动快照策略；</w:t>
            </w:r>
          </w:p>
          <w:p w14:paraId="19F3E15F">
            <w:pPr>
              <w:widowControl/>
              <w:jc w:val="left"/>
              <w:textAlignment w:val="center"/>
              <w:rPr>
                <w:rFonts w:ascii="宋体" w:hAnsi="宋体"/>
                <w:szCs w:val="20"/>
              </w:rPr>
            </w:pPr>
            <w:r>
              <w:rPr>
                <w:rFonts w:hint="eastAsia" w:ascii="宋体" w:hAnsi="宋体"/>
                <w:szCs w:val="20"/>
              </w:rPr>
              <w:t>投标人所投的云平台支持云硬盘快照备份策略的开启/停用；</w:t>
            </w:r>
          </w:p>
          <w:p w14:paraId="4C3C1EA9">
            <w:pPr>
              <w:widowControl/>
              <w:jc w:val="left"/>
              <w:textAlignment w:val="center"/>
              <w:rPr>
                <w:rFonts w:ascii="宋体" w:hAnsi="宋体"/>
                <w:szCs w:val="20"/>
              </w:rPr>
            </w:pPr>
            <w:r>
              <w:rPr>
                <w:rFonts w:hint="eastAsia" w:ascii="宋体" w:hAnsi="宋体"/>
                <w:szCs w:val="20"/>
              </w:rPr>
              <w:t>支持单个云硬盘存储最大IOPS不小于30000，最大吞吐量不小于250MB/s，随机读写时延不超过1ms；（需提供截图证明）</w:t>
            </w:r>
          </w:p>
          <w:p w14:paraId="17144272">
            <w:pPr>
              <w:widowControl/>
              <w:jc w:val="left"/>
              <w:textAlignment w:val="center"/>
              <w:rPr>
                <w:rFonts w:ascii="宋体" w:hAnsi="宋体"/>
                <w:szCs w:val="20"/>
              </w:rPr>
            </w:pPr>
            <w:r>
              <w:rPr>
                <w:rFonts w:hint="eastAsia" w:ascii="宋体" w:hAnsi="宋体"/>
                <w:szCs w:val="20"/>
              </w:rPr>
              <w:t>云硬盘数据可用性不低于99.95%，数据持久性不低于99.9999999%；</w:t>
            </w:r>
          </w:p>
          <w:p w14:paraId="5B08304F">
            <w:pPr>
              <w:widowControl/>
              <w:jc w:val="left"/>
              <w:textAlignment w:val="center"/>
              <w:rPr>
                <w:rFonts w:ascii="宋体" w:hAnsi="宋体"/>
                <w:szCs w:val="20"/>
              </w:rPr>
            </w:pPr>
            <w:r>
              <w:rPr>
                <w:rFonts w:hint="eastAsia" w:ascii="宋体" w:hAnsi="宋体"/>
                <w:szCs w:val="20"/>
              </w:rPr>
              <w:t>支持云主机I/O悬挂，当云主机使用的存储出现短时间闪断时，支持悬挂云主机当前I/O直到存储恢复，保证云主机业务不受影响。支持通过云主机备份副本进行源机恢复时，选择指定盘进行恢复操作；</w:t>
            </w:r>
          </w:p>
          <w:p w14:paraId="3CD850D3">
            <w:pPr>
              <w:widowControl/>
              <w:jc w:val="left"/>
              <w:textAlignment w:val="center"/>
              <w:rPr>
                <w:rFonts w:ascii="宋体" w:hAnsi="宋体"/>
                <w:color w:val="FF0000"/>
                <w:szCs w:val="20"/>
                <w:highlight w:val="yellow"/>
              </w:rPr>
            </w:pPr>
            <w:r>
              <w:rPr>
                <w:rFonts w:hint="eastAsia" w:ascii="宋体" w:hAnsi="宋体"/>
                <w:color w:val="FF0000"/>
                <w:szCs w:val="20"/>
                <w:highlight w:val="yellow"/>
              </w:rPr>
              <w:t>支持创建私有镜像，可通过云主机、镜像文件、云主机快照等镜像源创建私有镜像，私有镜像类型包括：系统盘镜像、数据盘镜像、ISO镜像等。</w:t>
            </w:r>
          </w:p>
          <w:p w14:paraId="3F891BCF">
            <w:pPr>
              <w:widowControl/>
              <w:jc w:val="left"/>
              <w:textAlignment w:val="center"/>
              <w:rPr>
                <w:rFonts w:hint="eastAsia" w:ascii="宋体" w:hAnsi="宋体"/>
                <w:color w:val="FF0000"/>
                <w:szCs w:val="20"/>
                <w:highlight w:val="yellow"/>
              </w:rPr>
            </w:pPr>
            <w:r>
              <w:rPr>
                <w:rFonts w:hint="eastAsia" w:ascii="宋体" w:hAnsi="宋体"/>
                <w:color w:val="FF0000"/>
                <w:szCs w:val="20"/>
                <w:highlight w:val="yellow"/>
              </w:rPr>
              <w:t>云平台应支持vxlan的Overlay隧道隔离技术，通过流表方式实现vRouter能力，VPC内东西向流量可在宿主机之间直接转发，不经过网关；</w:t>
            </w:r>
          </w:p>
          <w:p w14:paraId="3D4E9A14">
            <w:pPr>
              <w:widowControl/>
              <w:jc w:val="left"/>
              <w:textAlignment w:val="center"/>
              <w:rPr>
                <w:rFonts w:ascii="宋体" w:hAnsi="宋体"/>
                <w:szCs w:val="20"/>
              </w:rPr>
            </w:pPr>
            <w:r>
              <w:rPr>
                <w:rFonts w:hint="eastAsia" w:ascii="宋体" w:hAnsi="宋体"/>
                <w:szCs w:val="20"/>
              </w:rPr>
              <w:t>云网络支持SDN网络架构，提供不同的网络服务：包括虚拟私有云VPC、弹性IP、共享带宽、NAT网关、负载均衡等；</w:t>
            </w:r>
          </w:p>
          <w:p w14:paraId="5221BFCE">
            <w:pPr>
              <w:widowControl/>
              <w:jc w:val="left"/>
              <w:textAlignment w:val="center"/>
              <w:rPr>
                <w:rFonts w:ascii="宋体" w:hAnsi="宋体"/>
                <w:szCs w:val="20"/>
              </w:rPr>
            </w:pPr>
            <w:r>
              <w:rPr>
                <w:rFonts w:hint="eastAsia" w:ascii="宋体" w:hAnsi="宋体"/>
                <w:szCs w:val="20"/>
              </w:rPr>
              <w:t>VPC、弹性IP等均支持IPv4/IPv6双栈能力；（需提供截图证明）</w:t>
            </w:r>
          </w:p>
          <w:p w14:paraId="61B259A9">
            <w:pPr>
              <w:widowControl/>
              <w:jc w:val="left"/>
              <w:textAlignment w:val="center"/>
              <w:rPr>
                <w:rFonts w:ascii="宋体" w:hAnsi="宋体"/>
                <w:color w:val="FF0000"/>
                <w:szCs w:val="20"/>
                <w:highlight w:val="yellow"/>
              </w:rPr>
            </w:pPr>
            <w:r>
              <w:rPr>
                <w:rFonts w:hint="eastAsia" w:ascii="宋体" w:hAnsi="宋体"/>
                <w:color w:val="FF0000"/>
                <w:szCs w:val="20"/>
                <w:highlight w:val="yellow"/>
              </w:rPr>
              <w:t>安全组支持安全组模板；</w:t>
            </w:r>
          </w:p>
          <w:p w14:paraId="6C5302C9">
            <w:pPr>
              <w:widowControl/>
              <w:jc w:val="left"/>
              <w:textAlignment w:val="center"/>
              <w:rPr>
                <w:rFonts w:ascii="宋体" w:hAnsi="宋体"/>
                <w:color w:val="FF0000"/>
                <w:szCs w:val="20"/>
                <w:highlight w:val="yellow"/>
              </w:rPr>
            </w:pPr>
            <w:r>
              <w:rPr>
                <w:rFonts w:hint="eastAsia" w:ascii="宋体" w:hAnsi="宋体"/>
                <w:color w:val="FF0000"/>
                <w:szCs w:val="20"/>
                <w:highlight w:val="yellow"/>
              </w:rPr>
              <w:t>支持设置子网网关地址、DNS服务器地址、DHCP地址；</w:t>
            </w:r>
          </w:p>
          <w:p w14:paraId="0823A8D6">
            <w:pPr>
              <w:widowControl/>
              <w:jc w:val="left"/>
              <w:textAlignment w:val="center"/>
              <w:rPr>
                <w:rFonts w:ascii="宋体" w:hAnsi="宋体"/>
                <w:szCs w:val="20"/>
              </w:rPr>
            </w:pPr>
            <w:r>
              <w:rPr>
                <w:rFonts w:hint="eastAsia" w:ascii="宋体" w:hAnsi="宋体"/>
                <w:szCs w:val="20"/>
              </w:rPr>
              <w:t>负载均衡支持后端添加裸金属主机（需提供截图证明）</w:t>
            </w:r>
          </w:p>
          <w:p w14:paraId="31F47764">
            <w:pPr>
              <w:widowControl/>
              <w:jc w:val="left"/>
              <w:textAlignment w:val="center"/>
              <w:rPr>
                <w:rFonts w:ascii="宋体" w:hAnsi="宋体"/>
                <w:color w:val="FF0000"/>
                <w:szCs w:val="20"/>
                <w:highlight w:val="yellow"/>
              </w:rPr>
            </w:pPr>
            <w:r>
              <w:rPr>
                <w:rFonts w:hint="eastAsia" w:ascii="宋体" w:hAnsi="宋体"/>
                <w:color w:val="FF0000"/>
                <w:szCs w:val="20"/>
                <w:highlight w:val="yellow"/>
              </w:rPr>
              <w:t>支持单栈IPv6子网，云主机、裸金属间使用单栈IPV6协议进行IPV6互访；</w:t>
            </w:r>
          </w:p>
          <w:p w14:paraId="6DC67522">
            <w:pPr>
              <w:widowControl/>
              <w:jc w:val="left"/>
              <w:textAlignment w:val="center"/>
              <w:rPr>
                <w:rFonts w:ascii="宋体" w:hAnsi="宋体"/>
                <w:color w:val="FF0000"/>
                <w:szCs w:val="20"/>
                <w:highlight w:val="yellow"/>
              </w:rPr>
            </w:pPr>
            <w:r>
              <w:rPr>
                <w:rFonts w:hint="eastAsia" w:ascii="宋体" w:hAnsi="宋体"/>
                <w:color w:val="FF0000"/>
                <w:szCs w:val="20"/>
                <w:highlight w:val="yellow"/>
              </w:rPr>
              <w:t>支持设置子网网关地址、DNS服务器地址、DHCP地址；</w:t>
            </w:r>
          </w:p>
          <w:p w14:paraId="73932343">
            <w:pPr>
              <w:widowControl/>
              <w:jc w:val="left"/>
              <w:textAlignment w:val="center"/>
              <w:rPr>
                <w:rFonts w:ascii="宋体" w:hAnsi="宋体"/>
                <w:szCs w:val="20"/>
              </w:rPr>
            </w:pPr>
            <w:r>
              <w:rPr>
                <w:rFonts w:hint="eastAsia" w:ascii="宋体" w:hAnsi="宋体"/>
                <w:szCs w:val="20"/>
              </w:rPr>
              <w:t>负载均衡支持后端添加裸金属主机（需提供截图证明）</w:t>
            </w:r>
          </w:p>
          <w:p w14:paraId="0C8B82D7">
            <w:pPr>
              <w:widowControl/>
              <w:jc w:val="left"/>
              <w:textAlignment w:val="center"/>
              <w:rPr>
                <w:rFonts w:ascii="宋体" w:hAnsi="宋体"/>
                <w:szCs w:val="20"/>
              </w:rPr>
            </w:pPr>
            <w:r>
              <w:rPr>
                <w:rFonts w:hint="eastAsia" w:ascii="宋体" w:hAnsi="宋体"/>
                <w:szCs w:val="20"/>
              </w:rPr>
              <w:t>支持单栈IPv6子网，云主机、裸金属间使用单栈IPV6协议进行IPV6互访；</w:t>
            </w:r>
          </w:p>
          <w:p w14:paraId="20AF8583">
            <w:pPr>
              <w:widowControl/>
              <w:jc w:val="left"/>
              <w:textAlignment w:val="center"/>
              <w:rPr>
                <w:rFonts w:ascii="宋体" w:hAnsi="宋体"/>
                <w:szCs w:val="20"/>
              </w:rPr>
            </w:pPr>
            <w:r>
              <w:rPr>
                <w:rFonts w:hint="eastAsia" w:ascii="宋体" w:hAnsi="宋体"/>
                <w:szCs w:val="20"/>
              </w:rPr>
              <w:t>云资源管理平台</w:t>
            </w:r>
          </w:p>
          <w:p w14:paraId="612F3FA0">
            <w:pPr>
              <w:widowControl/>
              <w:jc w:val="left"/>
              <w:textAlignment w:val="center"/>
              <w:rPr>
                <w:rFonts w:ascii="宋体" w:hAnsi="宋体"/>
                <w:szCs w:val="20"/>
              </w:rPr>
            </w:pPr>
            <w:r>
              <w:rPr>
                <w:rFonts w:hint="eastAsia" w:ascii="宋体" w:hAnsi="宋体"/>
                <w:szCs w:val="20"/>
              </w:rPr>
              <w:t>云管平台提供实时的监控告警可视化能力，用户可查看资源使用情况，包括资源总览、用量统计、宿主机/裸金属服务器各项性能指标实时监控、云环境告警排名以及告警详情；（需提供截图证明）</w:t>
            </w:r>
          </w:p>
          <w:p w14:paraId="0A1C92F2">
            <w:pPr>
              <w:widowControl/>
              <w:jc w:val="left"/>
              <w:textAlignment w:val="center"/>
              <w:rPr>
                <w:rFonts w:ascii="宋体" w:hAnsi="宋体"/>
                <w:color w:val="FF0000"/>
                <w:szCs w:val="20"/>
                <w:highlight w:val="yellow"/>
              </w:rPr>
            </w:pPr>
            <w:r>
              <w:rPr>
                <w:rFonts w:hint="eastAsia" w:ascii="宋体" w:hAnsi="宋体"/>
                <w:color w:val="FF0000"/>
                <w:szCs w:val="20"/>
                <w:highlight w:val="yellow"/>
              </w:rPr>
              <w:t>云管平台支持短信登陆、账号密码登录、多因子登录功能，支持通过邮箱/手机验证，找回并重置密码，支持平台账号和子账号登录，采用密码+验证码的双重登录校验；</w:t>
            </w:r>
          </w:p>
          <w:p w14:paraId="71E8BC42">
            <w:pPr>
              <w:widowControl/>
              <w:jc w:val="left"/>
              <w:textAlignment w:val="center"/>
              <w:rPr>
                <w:rFonts w:ascii="宋体" w:hAnsi="宋体"/>
                <w:color w:val="FF0000"/>
                <w:szCs w:val="20"/>
                <w:highlight w:val="yellow"/>
              </w:rPr>
            </w:pPr>
            <w:r>
              <w:rPr>
                <w:rFonts w:hint="eastAsia" w:ascii="宋体" w:hAnsi="宋体"/>
                <w:color w:val="FF0000"/>
                <w:szCs w:val="20"/>
                <w:highlight w:val="yellow"/>
              </w:rPr>
              <w:t>IAAS资源统一开通和管理，统一用户权限、计量计费、运维监控告警管理。</w:t>
            </w:r>
          </w:p>
          <w:p w14:paraId="378BD954">
            <w:pPr>
              <w:widowControl/>
              <w:jc w:val="left"/>
              <w:textAlignment w:val="center"/>
              <w:rPr>
                <w:rFonts w:ascii="宋体" w:hAnsi="宋体"/>
                <w:color w:val="FF0000"/>
                <w:szCs w:val="20"/>
                <w:highlight w:val="yellow"/>
              </w:rPr>
            </w:pPr>
            <w:r>
              <w:rPr>
                <w:rFonts w:hint="eastAsia" w:ascii="宋体" w:hAnsi="宋体"/>
                <w:color w:val="FF0000"/>
                <w:szCs w:val="20"/>
                <w:highlight w:val="yellow"/>
              </w:rPr>
              <w:t>云下一代防火墙服务</w:t>
            </w:r>
          </w:p>
          <w:p w14:paraId="231345E6">
            <w:pPr>
              <w:widowControl/>
              <w:jc w:val="left"/>
              <w:textAlignment w:val="center"/>
              <w:rPr>
                <w:rFonts w:ascii="宋体" w:hAnsi="宋体"/>
                <w:color w:val="FF0000"/>
                <w:szCs w:val="20"/>
                <w:highlight w:val="yellow"/>
              </w:rPr>
            </w:pPr>
            <w:r>
              <w:rPr>
                <w:rFonts w:ascii="宋体" w:hAnsi="宋体"/>
                <w:color w:val="FF0000"/>
                <w:szCs w:val="20"/>
                <w:highlight w:val="yellow"/>
              </w:rPr>
              <w:t>云安全管理平台支持提供智慧防火墙服务，用户支持选择云智慧防火墙的规格、授权、使用时长，以及所属的区域、集群和网络；</w:t>
            </w:r>
          </w:p>
          <w:p w14:paraId="10EDA149">
            <w:pPr>
              <w:widowControl/>
              <w:jc w:val="left"/>
              <w:textAlignment w:val="center"/>
              <w:rPr>
                <w:rFonts w:ascii="宋体" w:hAnsi="宋体"/>
                <w:color w:val="FF0000"/>
                <w:szCs w:val="20"/>
                <w:highlight w:val="yellow"/>
              </w:rPr>
            </w:pPr>
            <w:r>
              <w:rPr>
                <w:rFonts w:hint="eastAsia" w:ascii="宋体" w:hAnsi="宋体"/>
                <w:color w:val="FF0000"/>
                <w:szCs w:val="20"/>
                <w:highlight w:val="yellow"/>
              </w:rPr>
              <w:t>Web应用防火墙服务</w:t>
            </w:r>
          </w:p>
          <w:p w14:paraId="7EE60EBD">
            <w:pPr>
              <w:widowControl/>
              <w:jc w:val="left"/>
              <w:textAlignment w:val="center"/>
              <w:rPr>
                <w:rFonts w:ascii="宋体" w:hAnsi="宋体"/>
                <w:color w:val="FF0000"/>
                <w:szCs w:val="20"/>
                <w:highlight w:val="yellow"/>
              </w:rPr>
            </w:pPr>
            <w:r>
              <w:rPr>
                <w:rFonts w:hint="eastAsia" w:ascii="宋体" w:hAnsi="宋体"/>
                <w:color w:val="FF0000"/>
                <w:szCs w:val="20"/>
                <w:highlight w:val="yellow"/>
              </w:rPr>
              <w:t>WAF服务支持移动端对资产的一键断网功能，提供网站一键下线以及批量下线的应急措施；</w:t>
            </w:r>
          </w:p>
          <w:p w14:paraId="750E0D89">
            <w:pPr>
              <w:widowControl/>
              <w:jc w:val="left"/>
              <w:textAlignment w:val="center"/>
              <w:rPr>
                <w:rFonts w:ascii="宋体" w:hAnsi="宋体"/>
                <w:color w:val="FF0000"/>
                <w:szCs w:val="20"/>
                <w:highlight w:val="yellow"/>
              </w:rPr>
            </w:pPr>
            <w:r>
              <w:rPr>
                <w:rFonts w:hint="eastAsia" w:ascii="宋体" w:hAnsi="宋体"/>
                <w:color w:val="FF0000"/>
                <w:szCs w:val="20"/>
                <w:highlight w:val="yellow"/>
              </w:rPr>
              <w:t>日志审计服务</w:t>
            </w:r>
          </w:p>
          <w:p w14:paraId="73A9E9FF">
            <w:pPr>
              <w:widowControl/>
              <w:jc w:val="left"/>
              <w:textAlignment w:val="center"/>
              <w:rPr>
                <w:rFonts w:ascii="宋体" w:hAnsi="宋体"/>
                <w:color w:val="FF0000"/>
                <w:szCs w:val="20"/>
                <w:highlight w:val="yellow"/>
              </w:rPr>
            </w:pPr>
            <w:r>
              <w:rPr>
                <w:rFonts w:hint="eastAsia" w:ascii="宋体" w:hAnsi="宋体"/>
                <w:color w:val="FF0000"/>
                <w:szCs w:val="20"/>
                <w:highlight w:val="yellow"/>
              </w:rPr>
              <w:t>日志审计服务支持市面主流安全设备、网络设备、中间件、服务器、数据库、操作系统等设备对象的日志数据采集。</w:t>
            </w:r>
          </w:p>
          <w:p w14:paraId="4D6F38B5">
            <w:pPr>
              <w:widowControl/>
              <w:jc w:val="left"/>
              <w:textAlignment w:val="center"/>
              <w:rPr>
                <w:rFonts w:hint="eastAsia" w:ascii="宋体" w:hAnsi="宋体"/>
                <w:szCs w:val="20"/>
              </w:rPr>
            </w:pPr>
          </w:p>
          <w:p w14:paraId="32923DB7">
            <w:pPr>
              <w:widowControl/>
              <w:jc w:val="left"/>
              <w:textAlignment w:val="center"/>
              <w:rPr>
                <w:rFonts w:ascii="宋体" w:hAnsi="宋体"/>
                <w:color w:val="FF0000"/>
                <w:szCs w:val="20"/>
                <w:highlight w:val="yellow"/>
              </w:rPr>
            </w:pPr>
            <w:r>
              <w:rPr>
                <w:rFonts w:ascii="宋体" w:hAnsi="宋体"/>
                <w:color w:val="FF0000"/>
                <w:szCs w:val="20"/>
                <w:highlight w:val="yellow"/>
              </w:rPr>
              <w:t>日志审计服务对单位内的设备类型、应用类型、协议类型等信息为基础，梳理出设备、应用、协议等之间的访问关系，实时树立访问关系；</w:t>
            </w:r>
          </w:p>
          <w:p w14:paraId="2C272631">
            <w:pPr>
              <w:widowControl/>
              <w:jc w:val="left"/>
              <w:textAlignment w:val="center"/>
              <w:rPr>
                <w:rFonts w:ascii="宋体" w:hAnsi="宋体"/>
                <w:color w:val="FF0000"/>
                <w:szCs w:val="20"/>
                <w:highlight w:val="yellow"/>
              </w:rPr>
            </w:pPr>
            <w:r>
              <w:rPr>
                <w:rFonts w:hint="eastAsia" w:ascii="宋体" w:hAnsi="宋体"/>
                <w:color w:val="FF0000"/>
                <w:szCs w:val="20"/>
                <w:highlight w:val="yellow"/>
              </w:rPr>
              <w:t>堡垒机服务</w:t>
            </w:r>
          </w:p>
          <w:p w14:paraId="1B294179">
            <w:pPr>
              <w:widowControl/>
              <w:jc w:val="left"/>
              <w:textAlignment w:val="center"/>
              <w:rPr>
                <w:rFonts w:ascii="宋体" w:hAnsi="宋体"/>
                <w:szCs w:val="20"/>
              </w:rPr>
            </w:pPr>
            <w:r>
              <w:rPr>
                <w:rFonts w:hint="eastAsia" w:ascii="宋体" w:hAnsi="宋体"/>
                <w:szCs w:val="20"/>
              </w:rPr>
              <w:t>堡垒机服务可根据部门、用户、用户组、资源账户、账户组、双人授权、动态令牌、有效期、文件管理控制、文件传输控制（上传、下载）、上行剪切板、下行剪切板、水印、OCR识别、磁盘映射、RDP剪切板控制、键盘审计控制、时间限制（允许登陆、禁止登陆）、IP限制（黑白名单）为条件，细粒度地进行访问控制。</w:t>
            </w:r>
          </w:p>
          <w:p w14:paraId="7F9B3017">
            <w:pPr>
              <w:widowControl/>
              <w:jc w:val="left"/>
              <w:textAlignment w:val="center"/>
              <w:rPr>
                <w:rFonts w:hint="eastAsia" w:ascii="宋体" w:hAnsi="宋体"/>
                <w:szCs w:val="20"/>
              </w:rPr>
            </w:pPr>
            <w:r>
              <w:rPr>
                <w:rFonts w:hint="eastAsia" w:ascii="宋体" w:hAnsi="宋体"/>
                <w:szCs w:val="20"/>
              </w:rPr>
              <w:t>堡垒机服务支持认证方式组合使用，例如使用AD域+手机短信、AD域+Radius认证、Radius认证+手机令牌等多种组合方式登录，支持按用户访问的源IP地址进行不同的认证方式</w:t>
            </w:r>
          </w:p>
          <w:p w14:paraId="4AECFC45">
            <w:pPr>
              <w:widowControl/>
              <w:jc w:val="left"/>
              <w:textAlignment w:val="center"/>
              <w:rPr>
                <w:rFonts w:ascii="宋体" w:hAnsi="宋体"/>
                <w:szCs w:val="20"/>
              </w:rPr>
            </w:pPr>
            <w:r>
              <w:rPr>
                <w:rFonts w:hint="eastAsia" w:ascii="宋体" w:hAnsi="宋体"/>
                <w:szCs w:val="20"/>
              </w:rPr>
              <w:t>漏洞扫描</w:t>
            </w:r>
          </w:p>
          <w:p w14:paraId="7CE2B7A9">
            <w:pPr>
              <w:widowControl/>
              <w:jc w:val="left"/>
              <w:textAlignment w:val="center"/>
              <w:rPr>
                <w:rFonts w:ascii="宋体" w:hAnsi="宋体"/>
                <w:szCs w:val="20"/>
              </w:rPr>
            </w:pPr>
            <w:r>
              <w:rPr>
                <w:rFonts w:hint="eastAsia" w:ascii="宋体" w:hAnsi="宋体"/>
                <w:szCs w:val="20"/>
              </w:rPr>
              <w:t>漏洞扫描产品集成系统扫描、WEB扫描、口令猜解、存活探测于一体，无需单独选配；</w:t>
            </w:r>
          </w:p>
          <w:p w14:paraId="6416F483">
            <w:pPr>
              <w:widowControl/>
              <w:jc w:val="left"/>
              <w:textAlignment w:val="center"/>
              <w:rPr>
                <w:rFonts w:ascii="宋体" w:hAnsi="宋体"/>
                <w:szCs w:val="20"/>
              </w:rPr>
            </w:pPr>
            <w:r>
              <w:rPr>
                <w:rFonts w:hint="eastAsia" w:ascii="宋体" w:hAnsi="宋体"/>
                <w:szCs w:val="20"/>
              </w:rPr>
              <w:t>支持340000条以上系统漏洞库，并按照漏洞类别及漏洞威胁程度进行分类；</w:t>
            </w:r>
            <w:r>
              <w:rPr>
                <w:rFonts w:ascii="宋体" w:hAnsi="宋体"/>
                <w:szCs w:val="20"/>
              </w:rPr>
              <w:t>（需提供截图证明）</w:t>
            </w:r>
          </w:p>
          <w:p w14:paraId="763DF563">
            <w:pPr>
              <w:widowControl/>
              <w:jc w:val="left"/>
              <w:textAlignment w:val="center"/>
              <w:rPr>
                <w:rFonts w:ascii="宋体" w:hAnsi="宋体"/>
                <w:szCs w:val="20"/>
              </w:rPr>
            </w:pPr>
          </w:p>
        </w:tc>
        <w:tc>
          <w:tcPr>
            <w:tcW w:w="922" w:type="dxa"/>
            <w:vAlign w:val="center"/>
          </w:tcPr>
          <w:p w14:paraId="79518128">
            <w:pPr>
              <w:widowControl/>
              <w:spacing w:line="240" w:lineRule="auto"/>
              <w:jc w:val="center"/>
              <w:rPr>
                <w:rFonts w:ascii="宋体" w:hAnsi="宋体"/>
                <w:szCs w:val="20"/>
              </w:rPr>
            </w:pPr>
            <w:r>
              <w:rPr>
                <w:rFonts w:hint="eastAsia" w:ascii="宋体" w:hAnsi="宋体"/>
                <w:szCs w:val="20"/>
              </w:rPr>
              <w:t>3</w:t>
            </w:r>
          </w:p>
        </w:tc>
        <w:tc>
          <w:tcPr>
            <w:tcW w:w="820" w:type="dxa"/>
            <w:vAlign w:val="center"/>
          </w:tcPr>
          <w:p w14:paraId="23031AB0">
            <w:pPr>
              <w:widowControl/>
              <w:spacing w:line="240" w:lineRule="auto"/>
              <w:jc w:val="center"/>
              <w:rPr>
                <w:rFonts w:ascii="宋体" w:hAnsi="宋体"/>
                <w:szCs w:val="20"/>
              </w:rPr>
            </w:pPr>
            <w:r>
              <w:rPr>
                <w:rFonts w:hint="eastAsia" w:ascii="宋体" w:hAnsi="宋体"/>
                <w:szCs w:val="20"/>
              </w:rPr>
              <w:t>年</w:t>
            </w:r>
          </w:p>
        </w:tc>
      </w:tr>
      <w:tr w14:paraId="0BD3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68500F22">
            <w:pPr>
              <w:pStyle w:val="70"/>
              <w:widowControl/>
              <w:numPr>
                <w:ilvl w:val="0"/>
                <w:numId w:val="56"/>
              </w:numPr>
              <w:spacing w:line="240" w:lineRule="auto"/>
              <w:ind w:firstLineChars="0"/>
              <w:rPr>
                <w:szCs w:val="20"/>
              </w:rPr>
            </w:pPr>
          </w:p>
        </w:tc>
        <w:tc>
          <w:tcPr>
            <w:tcW w:w="1190" w:type="dxa"/>
            <w:vAlign w:val="center"/>
          </w:tcPr>
          <w:p w14:paraId="05129B2B">
            <w:pPr>
              <w:widowControl/>
              <w:spacing w:line="240" w:lineRule="auto"/>
              <w:ind w:left="480" w:hanging="480" w:hangingChars="200"/>
              <w:jc w:val="center"/>
              <w:rPr>
                <w:rFonts w:ascii="宋体" w:hAnsi="宋体"/>
                <w:szCs w:val="20"/>
              </w:rPr>
            </w:pPr>
            <w:r>
              <w:rPr>
                <w:rFonts w:hint="eastAsia" w:ascii="宋体" w:hAnsi="宋体"/>
                <w:szCs w:val="20"/>
              </w:rPr>
              <w:t>一体化资源中心云资源</w:t>
            </w:r>
          </w:p>
        </w:tc>
        <w:tc>
          <w:tcPr>
            <w:tcW w:w="5166" w:type="dxa"/>
            <w:shd w:val="clear" w:color="auto" w:fill="auto"/>
            <w:vAlign w:val="center"/>
          </w:tcPr>
          <w:p w14:paraId="1E07224A">
            <w:pPr>
              <w:rPr>
                <w:rFonts w:ascii="宋体" w:hAnsi="宋体"/>
                <w:szCs w:val="20"/>
              </w:rPr>
            </w:pPr>
            <w:r>
              <w:rPr>
                <w:rFonts w:hint="eastAsia" w:ascii="宋体" w:hAnsi="宋体"/>
                <w:szCs w:val="20"/>
              </w:rPr>
              <w:t>Cpu</w:t>
            </w:r>
            <w:r>
              <w:rPr>
                <w:rFonts w:ascii="宋体" w:hAnsi="宋体"/>
                <w:szCs w:val="20"/>
              </w:rPr>
              <w:t>≥</w:t>
            </w:r>
            <w:r>
              <w:rPr>
                <w:rFonts w:hint="eastAsia" w:ascii="宋体" w:hAnsi="宋体"/>
                <w:szCs w:val="20"/>
              </w:rPr>
              <w:t>235核  内存</w:t>
            </w:r>
            <w:r>
              <w:rPr>
                <w:rFonts w:ascii="宋体" w:hAnsi="宋体"/>
                <w:szCs w:val="20"/>
              </w:rPr>
              <w:t>≥</w:t>
            </w:r>
            <w:r>
              <w:rPr>
                <w:rFonts w:hint="eastAsia" w:ascii="宋体" w:hAnsi="宋体"/>
                <w:szCs w:val="20"/>
              </w:rPr>
              <w:t>585G  系统盘及数据盘合计</w:t>
            </w:r>
            <w:r>
              <w:rPr>
                <w:rFonts w:ascii="宋体" w:hAnsi="宋体"/>
                <w:szCs w:val="20"/>
              </w:rPr>
              <w:t>≥</w:t>
            </w:r>
            <w:r>
              <w:rPr>
                <w:rFonts w:hint="eastAsia" w:ascii="宋体" w:hAnsi="宋体"/>
                <w:szCs w:val="20"/>
              </w:rPr>
              <w:t>21T.</w:t>
            </w:r>
          </w:p>
          <w:p w14:paraId="494BCCD6">
            <w:pPr>
              <w:rPr>
                <w:rFonts w:ascii="宋体" w:hAnsi="宋体"/>
                <w:szCs w:val="20"/>
              </w:rPr>
            </w:pPr>
            <w:r>
              <w:rPr>
                <w:rFonts w:hint="eastAsia" w:ascii="宋体" w:hAnsi="宋体"/>
                <w:szCs w:val="20"/>
              </w:rPr>
              <w:t>虚拟化云主机</w:t>
            </w:r>
          </w:p>
          <w:p w14:paraId="33A00299">
            <w:pPr>
              <w:rPr>
                <w:rFonts w:hint="eastAsia" w:ascii="宋体" w:hAnsi="宋体"/>
                <w:szCs w:val="20"/>
                <w:highlight w:val="none"/>
              </w:rPr>
            </w:pPr>
            <w:r>
              <w:rPr>
                <w:rFonts w:hint="eastAsia" w:ascii="宋体" w:hAnsi="宋体"/>
                <w:szCs w:val="20"/>
                <w:highlight w:val="none"/>
              </w:rPr>
              <w:t>▲支持云主机快照，包括创建整机快照，支持快照恢复、删除，支持云主机快照策略，定时创建快照。（需提供截图证明）</w:t>
            </w:r>
          </w:p>
          <w:p w14:paraId="13022B9B">
            <w:pPr>
              <w:rPr>
                <w:rFonts w:ascii="宋体" w:hAnsi="宋体"/>
                <w:szCs w:val="20"/>
              </w:rPr>
            </w:pPr>
            <w:r>
              <w:rPr>
                <w:rFonts w:hint="eastAsia" w:ascii="宋体" w:hAnsi="宋体"/>
                <w:szCs w:val="20"/>
              </w:rPr>
              <w:t>投标人所投的云平台兼容OpenStack架构，能够在云平台控制节点上执行openstack命令；</w:t>
            </w:r>
          </w:p>
          <w:p w14:paraId="4C5671AC">
            <w:pPr>
              <w:rPr>
                <w:rFonts w:hint="eastAsia" w:ascii="宋体" w:hAnsi="宋体" w:eastAsia="宋体"/>
                <w:color w:val="FF0000"/>
                <w:szCs w:val="20"/>
                <w:highlight w:val="yellow"/>
                <w:lang w:eastAsia="zh-CN"/>
              </w:rPr>
            </w:pPr>
            <w:r>
              <w:rPr>
                <w:rFonts w:hint="eastAsia" w:ascii="宋体" w:hAnsi="宋体"/>
                <w:color w:val="FF0000"/>
                <w:szCs w:val="20"/>
                <w:highlight w:val="yellow"/>
                <w:lang w:eastAsia="zh-CN"/>
              </w:rPr>
              <w:t>投标人所投的云平台，用户在开通时根据需求选择合适的Raid类型，以满足不同的存储配置需求；（无需截图可以满足功能）</w:t>
            </w:r>
          </w:p>
          <w:p w14:paraId="21A2D5DD">
            <w:pPr>
              <w:rPr>
                <w:rFonts w:hint="eastAsia" w:ascii="宋体" w:hAnsi="宋体"/>
                <w:szCs w:val="20"/>
              </w:rPr>
            </w:pPr>
            <w:r>
              <w:rPr>
                <w:rFonts w:hint="eastAsia" w:ascii="宋体" w:hAnsi="宋体"/>
                <w:szCs w:val="20"/>
              </w:rPr>
              <w:t>云主机支持HA机制，提升云主机的可用度，允许云主机出现故障后能够检测和自动拉起，保证云主机业务快速恢复；</w:t>
            </w:r>
          </w:p>
          <w:p w14:paraId="566F9C0C">
            <w:pPr>
              <w:rPr>
                <w:rFonts w:ascii="宋体" w:hAnsi="宋体"/>
                <w:color w:val="FF0000"/>
                <w:szCs w:val="20"/>
                <w:highlight w:val="yellow"/>
              </w:rPr>
            </w:pPr>
            <w:r>
              <w:rPr>
                <w:rFonts w:hint="eastAsia" w:ascii="宋体" w:hAnsi="宋体"/>
                <w:color w:val="FF0000"/>
                <w:szCs w:val="20"/>
                <w:highlight w:val="yellow"/>
              </w:rPr>
              <w:t>支持云主机内存负载监控，能够对内存负载进行查询，可精确计算云主机脏页速率(MB/S)；</w:t>
            </w:r>
          </w:p>
          <w:p w14:paraId="03E8AB97">
            <w:pPr>
              <w:rPr>
                <w:rFonts w:ascii="宋体" w:hAnsi="宋体"/>
                <w:color w:val="FF0000"/>
                <w:szCs w:val="20"/>
                <w:highlight w:val="yellow"/>
              </w:rPr>
            </w:pPr>
            <w:r>
              <w:rPr>
                <w:rFonts w:hint="eastAsia" w:ascii="宋体" w:hAnsi="宋体"/>
                <w:color w:val="FF0000"/>
                <w:szCs w:val="20"/>
                <w:highlight w:val="yellow"/>
              </w:rPr>
              <w:t>弹性伸缩支持健康检查时间间隔：5、15、60分钟；</w:t>
            </w:r>
          </w:p>
          <w:p w14:paraId="52B5D2AE">
            <w:pPr>
              <w:rPr>
                <w:rFonts w:ascii="宋体" w:hAnsi="宋体"/>
                <w:szCs w:val="20"/>
              </w:rPr>
            </w:pPr>
            <w:r>
              <w:rPr>
                <w:rFonts w:hint="eastAsia" w:ascii="宋体" w:hAnsi="宋体"/>
                <w:color w:val="FF0000"/>
                <w:szCs w:val="20"/>
                <w:highlight w:val="yellow"/>
              </w:rPr>
              <w:t>支持云主机热迁移，针对热迁移原理建模，可靠预估迁移时间。支持热迁移增强工具，提高热迁移成功率及热迁移网络中断时间&lt;500ms</w:t>
            </w:r>
            <w:r>
              <w:rPr>
                <w:rFonts w:hint="eastAsia" w:ascii="宋体" w:hAnsi="宋体"/>
                <w:szCs w:val="20"/>
              </w:rPr>
              <w:t>；</w:t>
            </w:r>
          </w:p>
          <w:p w14:paraId="47984F31">
            <w:pPr>
              <w:rPr>
                <w:rFonts w:ascii="宋体" w:hAnsi="宋体"/>
                <w:szCs w:val="20"/>
              </w:rPr>
            </w:pPr>
            <w:r>
              <w:rPr>
                <w:rFonts w:hint="eastAsia" w:ascii="宋体" w:hAnsi="宋体"/>
                <w:szCs w:val="20"/>
              </w:rPr>
              <w:t>单个云主机每服务周期服务可用率不低于99.975%；同一区域内多个可用区的弹性云主机每服务周期服务可用率不低于99.995%；</w:t>
            </w:r>
          </w:p>
          <w:p w14:paraId="3DAD013E">
            <w:pPr>
              <w:rPr>
                <w:rFonts w:ascii="宋体" w:hAnsi="宋体"/>
                <w:szCs w:val="20"/>
              </w:rPr>
            </w:pPr>
            <w:r>
              <w:rPr>
                <w:rFonts w:hint="eastAsia" w:ascii="宋体" w:hAnsi="宋体"/>
                <w:szCs w:val="20"/>
              </w:rPr>
              <w:t>支持弹性云主机热升配CPU和内存</w:t>
            </w:r>
          </w:p>
          <w:p w14:paraId="21A03785">
            <w:pPr>
              <w:widowControl/>
              <w:jc w:val="left"/>
              <w:textAlignment w:val="center"/>
              <w:rPr>
                <w:rFonts w:hint="eastAsia" w:ascii="宋体" w:hAnsi="宋体"/>
                <w:szCs w:val="20"/>
              </w:rPr>
            </w:pPr>
            <w:r>
              <w:rPr>
                <w:rFonts w:hint="eastAsia" w:ascii="宋体" w:hAnsi="宋体"/>
                <w:szCs w:val="20"/>
              </w:rPr>
              <w:t>云主机linux操作系统支持非root用户密码，windows操作系统支持非admin用户密码；</w:t>
            </w:r>
          </w:p>
          <w:p w14:paraId="5C644D5B">
            <w:pPr>
              <w:widowControl/>
              <w:jc w:val="left"/>
              <w:textAlignment w:val="center"/>
              <w:rPr>
                <w:rFonts w:hint="eastAsia" w:ascii="宋体" w:hAnsi="宋体"/>
                <w:szCs w:val="20"/>
              </w:rPr>
            </w:pPr>
            <w:r>
              <w:rPr>
                <w:rFonts w:hint="eastAsia" w:ascii="宋体" w:hAnsi="宋体"/>
                <w:szCs w:val="20"/>
              </w:rPr>
              <w:t>云主机支持创建系统盘镜像、数据盘镜像；</w:t>
            </w:r>
          </w:p>
          <w:p w14:paraId="1A488B47">
            <w:pPr>
              <w:rPr>
                <w:rFonts w:ascii="宋体" w:hAnsi="宋体"/>
                <w:szCs w:val="20"/>
              </w:rPr>
            </w:pPr>
            <w:r>
              <w:rPr>
                <w:rFonts w:hint="eastAsia" w:ascii="宋体" w:hAnsi="宋体"/>
                <w:szCs w:val="20"/>
              </w:rPr>
              <w:t>分布式块存储（云硬盘）</w:t>
            </w:r>
          </w:p>
          <w:p w14:paraId="45F4D555">
            <w:pPr>
              <w:rPr>
                <w:rFonts w:ascii="宋体" w:hAnsi="宋体"/>
                <w:szCs w:val="20"/>
              </w:rPr>
            </w:pPr>
            <w:r>
              <w:rPr>
                <w:rFonts w:hint="eastAsia" w:ascii="宋体" w:hAnsi="宋体"/>
                <w:szCs w:val="20"/>
              </w:rPr>
              <w:t>通过云主机快照申请云主机；</w:t>
            </w:r>
          </w:p>
          <w:p w14:paraId="589A598E">
            <w:pPr>
              <w:rPr>
                <w:rFonts w:ascii="宋体" w:hAnsi="宋体"/>
                <w:szCs w:val="20"/>
              </w:rPr>
            </w:pPr>
            <w:r>
              <w:rPr>
                <w:rFonts w:hint="eastAsia" w:ascii="宋体" w:hAnsi="宋体"/>
                <w:szCs w:val="20"/>
              </w:rPr>
              <w:t>投标人所投的云平台支持批量删除自动快照策略；</w:t>
            </w:r>
          </w:p>
          <w:p w14:paraId="3A06E5B9">
            <w:pPr>
              <w:rPr>
                <w:rFonts w:ascii="宋体" w:hAnsi="宋体"/>
                <w:szCs w:val="20"/>
              </w:rPr>
            </w:pPr>
            <w:r>
              <w:rPr>
                <w:rFonts w:hint="eastAsia" w:ascii="宋体" w:hAnsi="宋体"/>
                <w:szCs w:val="20"/>
              </w:rPr>
              <w:t>投标人所投的云平台支持云硬盘快照备份策略的开启/停用；</w:t>
            </w:r>
          </w:p>
          <w:p w14:paraId="351BD321">
            <w:pPr>
              <w:rPr>
                <w:rFonts w:ascii="宋体" w:hAnsi="宋体"/>
                <w:szCs w:val="20"/>
              </w:rPr>
            </w:pPr>
            <w:r>
              <w:rPr>
                <w:rFonts w:hint="eastAsia" w:ascii="宋体" w:hAnsi="宋体"/>
                <w:szCs w:val="20"/>
              </w:rPr>
              <w:t>支持单个云硬盘存储最大IOPS不小于30000，最大吞吐量不小于250MB/s，随机读写时延不超过1ms；（需提供截图证明）</w:t>
            </w:r>
          </w:p>
          <w:p w14:paraId="21C3F7D0">
            <w:pPr>
              <w:rPr>
                <w:rFonts w:ascii="宋体" w:hAnsi="宋体"/>
                <w:szCs w:val="20"/>
              </w:rPr>
            </w:pPr>
            <w:r>
              <w:rPr>
                <w:rFonts w:hint="eastAsia" w:ascii="宋体" w:hAnsi="宋体"/>
                <w:szCs w:val="20"/>
              </w:rPr>
              <w:t>云硬盘数据可用性不低于99.95%，数据持久性不低于99.9999999%；</w:t>
            </w:r>
          </w:p>
          <w:p w14:paraId="32A55688">
            <w:pPr>
              <w:rPr>
                <w:rFonts w:ascii="宋体" w:hAnsi="宋体"/>
                <w:szCs w:val="20"/>
              </w:rPr>
            </w:pPr>
            <w:r>
              <w:rPr>
                <w:rFonts w:hint="eastAsia" w:ascii="宋体" w:hAnsi="宋体"/>
                <w:szCs w:val="20"/>
              </w:rPr>
              <w:t>支持云主机I/O悬挂，当云主机使用的存储出现短时间闪断时，支持悬挂云主机当前I/O直到存储恢复，保证云主机业务不受影响。支持通过云主机备份副本进行源机恢复时，选择指定盘进行恢复操作；</w:t>
            </w:r>
          </w:p>
          <w:p w14:paraId="19E8820D">
            <w:pPr>
              <w:rPr>
                <w:rFonts w:ascii="宋体" w:hAnsi="宋体"/>
                <w:color w:val="FF0000"/>
                <w:szCs w:val="20"/>
                <w:highlight w:val="yellow"/>
              </w:rPr>
            </w:pPr>
            <w:r>
              <w:rPr>
                <w:rFonts w:hint="eastAsia" w:ascii="宋体" w:hAnsi="宋体"/>
                <w:color w:val="FF0000"/>
                <w:szCs w:val="20"/>
                <w:highlight w:val="yellow"/>
              </w:rPr>
              <w:t>支持创建私有镜像，可通过云主机、镜像文件、云主机快照等镜像源创建私有镜像，私有镜像类型包括：系统盘镜像、数据盘镜像、ISO镜像等。</w:t>
            </w:r>
          </w:p>
          <w:p w14:paraId="700A8736">
            <w:pPr>
              <w:rPr>
                <w:rFonts w:ascii="宋体" w:hAnsi="宋体"/>
                <w:color w:val="FF0000"/>
                <w:szCs w:val="20"/>
                <w:highlight w:val="yellow"/>
              </w:rPr>
            </w:pPr>
            <w:r>
              <w:rPr>
                <w:rFonts w:hint="eastAsia" w:ascii="宋体" w:hAnsi="宋体"/>
                <w:color w:val="FF0000"/>
                <w:szCs w:val="20"/>
                <w:highlight w:val="yellow"/>
              </w:rPr>
              <w:t>云平台应支持vxlan的Overlay隧道隔离技术，通过流表方式实现vRouter能力，VPC内东西向流量可在宿主机之间直接转发，不经过网关；</w:t>
            </w:r>
          </w:p>
          <w:p w14:paraId="4F6F9BAF">
            <w:pPr>
              <w:rPr>
                <w:rFonts w:ascii="宋体" w:hAnsi="宋体"/>
                <w:color w:val="FF0000"/>
                <w:szCs w:val="20"/>
                <w:highlight w:val="yellow"/>
              </w:rPr>
            </w:pPr>
            <w:r>
              <w:rPr>
                <w:rFonts w:hint="eastAsia" w:ascii="宋体" w:hAnsi="宋体"/>
                <w:color w:val="FF0000"/>
                <w:szCs w:val="20"/>
                <w:highlight w:val="yellow"/>
              </w:rPr>
              <w:t>云网络支持SDN网络架构，提供不同的网络服务：包括虚拟私有云VPC、弹性IP、共享带宽、NAT网关、负载均衡等；</w:t>
            </w:r>
          </w:p>
          <w:p w14:paraId="148B32DB">
            <w:pPr>
              <w:rPr>
                <w:rFonts w:ascii="宋体" w:hAnsi="宋体"/>
                <w:szCs w:val="20"/>
              </w:rPr>
            </w:pPr>
            <w:r>
              <w:rPr>
                <w:rFonts w:hint="eastAsia" w:ascii="宋体" w:hAnsi="宋体"/>
                <w:szCs w:val="20"/>
              </w:rPr>
              <w:t>VPC、弹性IP等均支持IPv4/IPv6双栈能力；（需提供截图证明）</w:t>
            </w:r>
          </w:p>
          <w:p w14:paraId="629E5633">
            <w:pPr>
              <w:rPr>
                <w:rFonts w:ascii="宋体" w:hAnsi="宋体"/>
                <w:szCs w:val="20"/>
              </w:rPr>
            </w:pPr>
            <w:r>
              <w:rPr>
                <w:rFonts w:hint="eastAsia" w:ascii="宋体" w:hAnsi="宋体"/>
                <w:szCs w:val="20"/>
              </w:rPr>
              <w:t>安全组支持安全组模板；</w:t>
            </w:r>
          </w:p>
          <w:p w14:paraId="3E166752">
            <w:pPr>
              <w:rPr>
                <w:rFonts w:ascii="宋体" w:hAnsi="宋体"/>
                <w:szCs w:val="20"/>
              </w:rPr>
            </w:pPr>
            <w:r>
              <w:rPr>
                <w:rFonts w:hint="eastAsia" w:ascii="宋体" w:hAnsi="宋体"/>
                <w:szCs w:val="20"/>
              </w:rPr>
              <w:t>投标人所投的云平台支持VPC组播功能，实现对医疗、直播等场景的业务支撑，节省带宽消耗；（需提供截图证明）</w:t>
            </w:r>
          </w:p>
          <w:p w14:paraId="59B23560">
            <w:pPr>
              <w:rPr>
                <w:rFonts w:ascii="宋体" w:hAnsi="宋体"/>
                <w:szCs w:val="20"/>
              </w:rPr>
            </w:pPr>
            <w:r>
              <w:rPr>
                <w:rFonts w:hint="eastAsia" w:ascii="宋体" w:hAnsi="宋体"/>
                <w:szCs w:val="20"/>
              </w:rPr>
              <w:t>内网DNS支持域名解析转发代理，既云服务器访问公网域名时，内网DNS会把公网的域名请求发给公网DNS解析。</w:t>
            </w:r>
          </w:p>
          <w:p w14:paraId="2D94EF02">
            <w:pPr>
              <w:rPr>
                <w:rFonts w:ascii="宋体" w:hAnsi="宋体"/>
                <w:szCs w:val="20"/>
              </w:rPr>
            </w:pPr>
            <w:r>
              <w:rPr>
                <w:rFonts w:hint="eastAsia" w:ascii="宋体" w:hAnsi="宋体"/>
                <w:szCs w:val="20"/>
              </w:rPr>
              <w:t>支持设置子网网关地址、DNS服务器地址、DHCP地址；</w:t>
            </w:r>
          </w:p>
          <w:p w14:paraId="1910BD52">
            <w:pPr>
              <w:rPr>
                <w:rFonts w:ascii="宋体" w:hAnsi="宋体"/>
                <w:szCs w:val="20"/>
              </w:rPr>
            </w:pPr>
            <w:r>
              <w:rPr>
                <w:rFonts w:hint="eastAsia" w:ascii="宋体" w:hAnsi="宋体"/>
                <w:szCs w:val="20"/>
              </w:rPr>
              <w:t>负载均衡支持后端添加裸金属主机（需提供截图证明）</w:t>
            </w:r>
          </w:p>
          <w:p w14:paraId="31AFA7C6">
            <w:pPr>
              <w:rPr>
                <w:rFonts w:ascii="宋体" w:hAnsi="宋体"/>
                <w:color w:val="FF0000"/>
                <w:szCs w:val="20"/>
                <w:highlight w:val="yellow"/>
              </w:rPr>
            </w:pPr>
            <w:r>
              <w:rPr>
                <w:rFonts w:hint="eastAsia" w:ascii="宋体" w:hAnsi="宋体"/>
                <w:color w:val="FF0000"/>
                <w:szCs w:val="20"/>
                <w:highlight w:val="yellow"/>
              </w:rPr>
              <w:t>支持单栈IPv6子网，云主机、裸金属间使用单栈IPV6协议进行IPV6互访；</w:t>
            </w:r>
          </w:p>
          <w:p w14:paraId="76DB61F7">
            <w:pPr>
              <w:rPr>
                <w:rFonts w:ascii="宋体" w:hAnsi="宋体"/>
                <w:color w:val="FF0000"/>
                <w:szCs w:val="20"/>
                <w:highlight w:val="yellow"/>
              </w:rPr>
            </w:pPr>
            <w:r>
              <w:rPr>
                <w:rFonts w:hint="eastAsia" w:ascii="宋体" w:hAnsi="宋体"/>
                <w:color w:val="FF0000"/>
                <w:szCs w:val="20"/>
                <w:highlight w:val="yellow"/>
              </w:rPr>
              <w:t>支持设置子网网关地址、DNS服务器地址、DHCP地址；</w:t>
            </w:r>
          </w:p>
          <w:p w14:paraId="542BBE54">
            <w:pPr>
              <w:rPr>
                <w:rFonts w:ascii="宋体" w:hAnsi="宋体"/>
                <w:color w:val="FF0000"/>
                <w:szCs w:val="20"/>
                <w:highlight w:val="yellow"/>
              </w:rPr>
            </w:pPr>
            <w:r>
              <w:rPr>
                <w:rFonts w:hint="eastAsia" w:ascii="宋体" w:hAnsi="宋体"/>
                <w:color w:val="FF0000"/>
                <w:szCs w:val="20"/>
                <w:highlight w:val="yellow"/>
              </w:rPr>
              <w:t>负载均衡支持后端添加裸金属主机（需提供截图证明）</w:t>
            </w:r>
          </w:p>
          <w:p w14:paraId="22D50413">
            <w:pPr>
              <w:rPr>
                <w:rFonts w:ascii="宋体" w:hAnsi="宋体"/>
                <w:szCs w:val="20"/>
              </w:rPr>
            </w:pPr>
            <w:r>
              <w:rPr>
                <w:rFonts w:hint="eastAsia" w:ascii="宋体" w:hAnsi="宋体"/>
                <w:color w:val="FF0000"/>
                <w:szCs w:val="20"/>
                <w:highlight w:val="yellow"/>
              </w:rPr>
              <w:t>云资源管理平台</w:t>
            </w:r>
          </w:p>
          <w:p w14:paraId="4A39C550">
            <w:pPr>
              <w:rPr>
                <w:rFonts w:ascii="宋体" w:hAnsi="宋体"/>
                <w:szCs w:val="20"/>
              </w:rPr>
            </w:pPr>
            <w:r>
              <w:rPr>
                <w:rFonts w:hint="eastAsia" w:ascii="宋体" w:hAnsi="宋体"/>
                <w:szCs w:val="20"/>
              </w:rPr>
              <w:t>云管平台提供实时的监控告警可视化能力，用户可查看资源使用情况，包括资源总览、用量统计、宿主机/裸金属服务器各项性能指标实时监控、云环境告警排名以及告警详情；（需提供截图证明）</w:t>
            </w:r>
          </w:p>
          <w:p w14:paraId="5EC2EB9A">
            <w:pPr>
              <w:rPr>
                <w:rFonts w:ascii="宋体" w:hAnsi="宋体"/>
                <w:color w:val="FF0000"/>
                <w:szCs w:val="20"/>
                <w:highlight w:val="yellow"/>
              </w:rPr>
            </w:pPr>
            <w:r>
              <w:rPr>
                <w:rFonts w:hint="eastAsia" w:ascii="宋体" w:hAnsi="宋体"/>
                <w:color w:val="FF0000"/>
                <w:szCs w:val="20"/>
                <w:highlight w:val="yellow"/>
              </w:rPr>
              <w:t>云管平台支持短信登陆、账号密码登录、多因子登录功能，支持通过邮箱/手机验证，找回并重置密码，支持平台账号和子账号登录，采用密码+验证码的双重登录校验；</w:t>
            </w:r>
          </w:p>
          <w:p w14:paraId="1835473F">
            <w:pPr>
              <w:rPr>
                <w:rFonts w:ascii="宋体" w:hAnsi="宋体"/>
                <w:color w:val="FF0000"/>
                <w:szCs w:val="20"/>
                <w:highlight w:val="yellow"/>
              </w:rPr>
            </w:pPr>
            <w:r>
              <w:rPr>
                <w:rFonts w:hint="eastAsia" w:ascii="宋体" w:hAnsi="宋体"/>
                <w:color w:val="FF0000"/>
                <w:szCs w:val="20"/>
                <w:highlight w:val="yellow"/>
              </w:rPr>
              <w:t>IAAS资源统一开通和管理，统一用户权限、计量计费、运维监控告警管理。</w:t>
            </w:r>
          </w:p>
          <w:p w14:paraId="7F85A232">
            <w:pPr>
              <w:rPr>
                <w:rFonts w:ascii="宋体" w:hAnsi="宋体"/>
                <w:color w:val="FF0000"/>
                <w:szCs w:val="20"/>
                <w:highlight w:val="yellow"/>
              </w:rPr>
            </w:pPr>
            <w:r>
              <w:rPr>
                <w:rFonts w:hint="eastAsia" w:ascii="宋体" w:hAnsi="宋体"/>
                <w:color w:val="FF0000"/>
                <w:szCs w:val="20"/>
                <w:highlight w:val="yellow"/>
              </w:rPr>
              <w:t>提供云资源池截至投标当天有效的等保2.0测评三级及以上合格证书；（需提供截图证明）</w:t>
            </w:r>
          </w:p>
          <w:p w14:paraId="3E8458EC">
            <w:pPr>
              <w:rPr>
                <w:rFonts w:ascii="宋体" w:hAnsi="宋体"/>
                <w:color w:val="FF0000"/>
                <w:szCs w:val="20"/>
                <w:highlight w:val="yellow"/>
              </w:rPr>
            </w:pPr>
            <w:r>
              <w:rPr>
                <w:rFonts w:hint="eastAsia" w:ascii="宋体" w:hAnsi="宋体"/>
                <w:color w:val="FF0000"/>
                <w:szCs w:val="20"/>
                <w:highlight w:val="yellow"/>
              </w:rPr>
              <w:t>云下一代防火墙服务</w:t>
            </w:r>
          </w:p>
          <w:p w14:paraId="027ABA76">
            <w:pPr>
              <w:rPr>
                <w:rFonts w:ascii="宋体" w:hAnsi="宋体"/>
                <w:color w:val="FF0000"/>
                <w:szCs w:val="20"/>
                <w:highlight w:val="yellow"/>
              </w:rPr>
            </w:pPr>
            <w:r>
              <w:rPr>
                <w:rFonts w:ascii="宋体" w:hAnsi="宋体"/>
                <w:color w:val="FF0000"/>
                <w:szCs w:val="20"/>
                <w:highlight w:val="yellow"/>
              </w:rPr>
              <w:t>云安全管理平台支持提供智慧防火墙服务，用户支持选择云智慧防火墙的规格、授权、使用时长，以及所属的区域、集群和网络；</w:t>
            </w:r>
          </w:p>
          <w:p w14:paraId="6EC61EFE">
            <w:pPr>
              <w:rPr>
                <w:rFonts w:ascii="宋体" w:hAnsi="宋体"/>
                <w:color w:val="FF0000"/>
                <w:szCs w:val="20"/>
                <w:highlight w:val="yellow"/>
              </w:rPr>
            </w:pPr>
            <w:r>
              <w:rPr>
                <w:rFonts w:hint="eastAsia" w:ascii="宋体" w:hAnsi="宋体"/>
                <w:color w:val="FF0000"/>
                <w:szCs w:val="20"/>
                <w:highlight w:val="yellow"/>
              </w:rPr>
              <w:t>Web应用防火墙服务</w:t>
            </w:r>
          </w:p>
          <w:p w14:paraId="1B7D57DF">
            <w:pPr>
              <w:rPr>
                <w:rFonts w:ascii="宋体" w:hAnsi="宋体"/>
                <w:color w:val="FF0000"/>
                <w:szCs w:val="20"/>
                <w:highlight w:val="yellow"/>
              </w:rPr>
            </w:pPr>
            <w:r>
              <w:rPr>
                <w:rFonts w:hint="eastAsia" w:ascii="宋体" w:hAnsi="宋体"/>
                <w:color w:val="FF0000"/>
                <w:szCs w:val="20"/>
                <w:highlight w:val="yellow"/>
              </w:rPr>
              <w:t>WAF服务支持移动端对资产的一键断网功能，提供网站一键下线以及批量下线的应急措施；</w:t>
            </w:r>
          </w:p>
          <w:p w14:paraId="0CB5703D">
            <w:pPr>
              <w:rPr>
                <w:rFonts w:ascii="宋体" w:hAnsi="宋体"/>
                <w:color w:val="FF0000"/>
                <w:szCs w:val="20"/>
                <w:highlight w:val="yellow"/>
              </w:rPr>
            </w:pPr>
            <w:r>
              <w:rPr>
                <w:rFonts w:hint="eastAsia" w:ascii="宋体" w:hAnsi="宋体"/>
                <w:color w:val="FF0000"/>
                <w:szCs w:val="20"/>
                <w:highlight w:val="yellow"/>
              </w:rPr>
              <w:t>日志审计服务</w:t>
            </w:r>
          </w:p>
          <w:p w14:paraId="1EA4B85A">
            <w:pPr>
              <w:rPr>
                <w:rFonts w:ascii="宋体" w:hAnsi="宋体"/>
                <w:szCs w:val="20"/>
              </w:rPr>
            </w:pPr>
            <w:r>
              <w:rPr>
                <w:rFonts w:hint="eastAsia" w:ascii="宋体" w:hAnsi="宋体"/>
                <w:szCs w:val="20"/>
              </w:rPr>
              <w:t>日志审计服务支持市面主流安全设备、网络设备、中间件、服务器、数据库、操作系统等设备对象的日志数据采集。</w:t>
            </w:r>
          </w:p>
          <w:p w14:paraId="145CF367">
            <w:pPr>
              <w:widowControl/>
              <w:jc w:val="left"/>
              <w:textAlignment w:val="center"/>
              <w:rPr>
                <w:rFonts w:hint="eastAsia" w:ascii="宋体" w:hAnsi="宋体"/>
                <w:szCs w:val="20"/>
              </w:rPr>
            </w:pPr>
          </w:p>
          <w:p w14:paraId="060B1437">
            <w:pPr>
              <w:rPr>
                <w:rFonts w:ascii="宋体" w:hAnsi="宋体"/>
                <w:color w:val="FF0000"/>
                <w:szCs w:val="20"/>
                <w:highlight w:val="yellow"/>
              </w:rPr>
            </w:pPr>
            <w:r>
              <w:rPr>
                <w:rFonts w:ascii="宋体" w:hAnsi="宋体"/>
                <w:color w:val="FF0000"/>
                <w:szCs w:val="20"/>
                <w:highlight w:val="yellow"/>
              </w:rPr>
              <w:t>日志审计服务对单位内的设备类型、应用类型、协议类型等信息为基础，梳理出设备、应用、协议等之间的访问关系，实时树立访问关系；</w:t>
            </w:r>
          </w:p>
          <w:p w14:paraId="7977B633">
            <w:pPr>
              <w:rPr>
                <w:rFonts w:ascii="宋体" w:hAnsi="宋体"/>
                <w:color w:val="FF0000"/>
                <w:szCs w:val="20"/>
                <w:highlight w:val="yellow"/>
              </w:rPr>
            </w:pPr>
            <w:r>
              <w:rPr>
                <w:rFonts w:hint="eastAsia" w:ascii="宋体" w:hAnsi="宋体"/>
                <w:color w:val="FF0000"/>
                <w:szCs w:val="20"/>
                <w:highlight w:val="yellow"/>
              </w:rPr>
              <w:t>堡垒机服务</w:t>
            </w:r>
          </w:p>
          <w:p w14:paraId="1B8EE2AA">
            <w:pPr>
              <w:rPr>
                <w:rFonts w:hint="eastAsia" w:ascii="宋体" w:hAnsi="宋体"/>
                <w:szCs w:val="20"/>
              </w:rPr>
            </w:pPr>
            <w:r>
              <w:rPr>
                <w:rFonts w:hint="eastAsia" w:ascii="宋体" w:hAnsi="宋体"/>
                <w:szCs w:val="20"/>
              </w:rPr>
              <w:t>堡垒机服务可根据部门、用户、用户组、资源账户、账户组、双人授权、动态令牌、有效期、文件管理控制、文件传输控制（上传、下载）、上行剪切板、下行剪切板、水印、OCR识别、磁盘映射、RDP剪切板控制、键盘审计控制、时间限制（允许登陆、禁止登陆）、IP限制（黑白名单）为条件，细粒度地进行访问控制。</w:t>
            </w:r>
          </w:p>
          <w:p w14:paraId="393BDB12">
            <w:pPr>
              <w:rPr>
                <w:rFonts w:hint="eastAsia" w:ascii="宋体" w:hAnsi="宋体"/>
                <w:szCs w:val="20"/>
              </w:rPr>
            </w:pPr>
            <w:r>
              <w:rPr>
                <w:rFonts w:hint="eastAsia" w:ascii="宋体" w:hAnsi="宋体"/>
                <w:szCs w:val="20"/>
              </w:rPr>
              <w:t>堡垒机服务支持认证方式组合使用，例如使用AD域+手机短信、AD域+Radius认证、Radius认证+手机令牌等多种组合方式登录，支持按用户访问的源IP地址进行不同的认证方式</w:t>
            </w:r>
          </w:p>
          <w:p w14:paraId="26F7A8A6">
            <w:pPr>
              <w:rPr>
                <w:rFonts w:ascii="宋体" w:hAnsi="宋体"/>
                <w:szCs w:val="20"/>
              </w:rPr>
            </w:pPr>
            <w:r>
              <w:rPr>
                <w:rFonts w:hint="eastAsia" w:ascii="宋体" w:hAnsi="宋体"/>
                <w:szCs w:val="20"/>
              </w:rPr>
              <w:t>漏洞扫描</w:t>
            </w:r>
          </w:p>
          <w:p w14:paraId="26B231A4">
            <w:pPr>
              <w:rPr>
                <w:rFonts w:ascii="宋体" w:hAnsi="宋体"/>
                <w:szCs w:val="20"/>
              </w:rPr>
            </w:pPr>
            <w:r>
              <w:rPr>
                <w:rFonts w:hint="eastAsia" w:ascii="宋体" w:hAnsi="宋体"/>
                <w:szCs w:val="20"/>
              </w:rPr>
              <w:t>漏洞扫描产品集成系统扫描、WEB扫描、口令猜解、存活探测于一体，无需单独选配；</w:t>
            </w:r>
          </w:p>
          <w:p w14:paraId="6255D139">
            <w:pPr>
              <w:widowControl/>
              <w:jc w:val="left"/>
              <w:textAlignment w:val="center"/>
              <w:rPr>
                <w:rFonts w:ascii="宋体" w:hAnsi="宋体"/>
                <w:szCs w:val="20"/>
              </w:rPr>
            </w:pPr>
            <w:r>
              <w:rPr>
                <w:rFonts w:hint="eastAsia" w:ascii="宋体" w:hAnsi="宋体"/>
                <w:szCs w:val="20"/>
              </w:rPr>
              <w:t>支持340000条以上系统漏洞库，并按照漏洞类别及漏洞威胁程度进行分类；</w:t>
            </w:r>
            <w:r>
              <w:rPr>
                <w:rFonts w:ascii="宋体" w:hAnsi="宋体"/>
                <w:szCs w:val="20"/>
              </w:rPr>
              <w:t>（需提供截图证明）</w:t>
            </w:r>
          </w:p>
          <w:p w14:paraId="532B6200">
            <w:pPr>
              <w:rPr>
                <w:rFonts w:ascii="宋体" w:hAnsi="宋体"/>
                <w:szCs w:val="20"/>
              </w:rPr>
            </w:pPr>
          </w:p>
        </w:tc>
        <w:tc>
          <w:tcPr>
            <w:tcW w:w="922" w:type="dxa"/>
            <w:vAlign w:val="center"/>
          </w:tcPr>
          <w:p w14:paraId="1E2EE6C2">
            <w:pPr>
              <w:widowControl/>
              <w:spacing w:line="240" w:lineRule="auto"/>
              <w:jc w:val="center"/>
              <w:rPr>
                <w:rFonts w:ascii="宋体" w:hAnsi="宋体"/>
                <w:szCs w:val="20"/>
              </w:rPr>
            </w:pPr>
            <w:r>
              <w:rPr>
                <w:rFonts w:hint="eastAsia" w:ascii="宋体" w:hAnsi="宋体"/>
                <w:szCs w:val="20"/>
              </w:rPr>
              <w:t>3</w:t>
            </w:r>
          </w:p>
        </w:tc>
        <w:tc>
          <w:tcPr>
            <w:tcW w:w="820" w:type="dxa"/>
            <w:vAlign w:val="center"/>
          </w:tcPr>
          <w:p w14:paraId="23497891">
            <w:pPr>
              <w:widowControl/>
              <w:spacing w:line="240" w:lineRule="auto"/>
              <w:jc w:val="center"/>
              <w:rPr>
                <w:rFonts w:ascii="宋体" w:hAnsi="宋体"/>
                <w:szCs w:val="20"/>
              </w:rPr>
            </w:pPr>
            <w:r>
              <w:rPr>
                <w:rFonts w:hint="eastAsia" w:ascii="宋体" w:hAnsi="宋体"/>
                <w:szCs w:val="20"/>
              </w:rPr>
              <w:t>年</w:t>
            </w:r>
          </w:p>
        </w:tc>
      </w:tr>
      <w:tr w14:paraId="4231C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3D4E062E">
            <w:pPr>
              <w:pStyle w:val="70"/>
              <w:widowControl/>
              <w:numPr>
                <w:ilvl w:val="0"/>
                <w:numId w:val="56"/>
              </w:numPr>
              <w:spacing w:line="240" w:lineRule="auto"/>
              <w:ind w:firstLineChars="0"/>
              <w:rPr>
                <w:szCs w:val="20"/>
              </w:rPr>
            </w:pPr>
          </w:p>
        </w:tc>
        <w:tc>
          <w:tcPr>
            <w:tcW w:w="1190" w:type="dxa"/>
            <w:vAlign w:val="center"/>
          </w:tcPr>
          <w:p w14:paraId="68ED8011">
            <w:pPr>
              <w:widowControl/>
              <w:spacing w:line="240" w:lineRule="auto"/>
              <w:jc w:val="center"/>
              <w:rPr>
                <w:rFonts w:ascii="宋体" w:hAnsi="宋体"/>
                <w:szCs w:val="20"/>
              </w:rPr>
            </w:pPr>
            <w:r>
              <w:rPr>
                <w:rFonts w:hint="eastAsia" w:ascii="宋体" w:hAnsi="宋体"/>
                <w:szCs w:val="20"/>
              </w:rPr>
              <w:t>一体化基层医疗服务云资源</w:t>
            </w:r>
          </w:p>
        </w:tc>
        <w:tc>
          <w:tcPr>
            <w:tcW w:w="5166" w:type="dxa"/>
            <w:vAlign w:val="center"/>
          </w:tcPr>
          <w:p w14:paraId="35E4CDD9">
            <w:pPr>
              <w:rPr>
                <w:rFonts w:ascii="宋体" w:hAnsi="宋体"/>
                <w:szCs w:val="20"/>
              </w:rPr>
            </w:pPr>
            <w:r>
              <w:rPr>
                <w:rFonts w:hint="eastAsia" w:ascii="宋体" w:hAnsi="宋体"/>
                <w:szCs w:val="20"/>
              </w:rPr>
              <w:t>Cpu</w:t>
            </w:r>
            <w:r>
              <w:rPr>
                <w:rFonts w:ascii="宋体" w:hAnsi="宋体"/>
                <w:szCs w:val="20"/>
              </w:rPr>
              <w:t>≥</w:t>
            </w:r>
            <w:r>
              <w:rPr>
                <w:rFonts w:hint="eastAsia" w:ascii="宋体" w:hAnsi="宋体"/>
                <w:szCs w:val="20"/>
              </w:rPr>
              <w:t>235核  内存</w:t>
            </w:r>
            <w:r>
              <w:rPr>
                <w:rFonts w:ascii="宋体" w:hAnsi="宋体"/>
                <w:szCs w:val="20"/>
              </w:rPr>
              <w:t>≥</w:t>
            </w:r>
            <w:r>
              <w:rPr>
                <w:rFonts w:hint="eastAsia" w:ascii="宋体" w:hAnsi="宋体"/>
                <w:szCs w:val="20"/>
              </w:rPr>
              <w:t>585G  系统盘及数据盘合计</w:t>
            </w:r>
            <w:r>
              <w:rPr>
                <w:rFonts w:ascii="宋体" w:hAnsi="宋体"/>
                <w:szCs w:val="20"/>
              </w:rPr>
              <w:t>≥</w:t>
            </w:r>
            <w:r>
              <w:rPr>
                <w:rFonts w:hint="eastAsia" w:ascii="宋体" w:hAnsi="宋体"/>
                <w:szCs w:val="20"/>
              </w:rPr>
              <w:t>21T.</w:t>
            </w:r>
          </w:p>
          <w:p w14:paraId="680FD0EC">
            <w:pPr>
              <w:rPr>
                <w:rFonts w:ascii="宋体" w:hAnsi="宋体"/>
                <w:szCs w:val="20"/>
              </w:rPr>
            </w:pPr>
            <w:r>
              <w:rPr>
                <w:rFonts w:hint="eastAsia" w:ascii="宋体" w:hAnsi="宋体"/>
                <w:szCs w:val="20"/>
              </w:rPr>
              <w:t>虚拟化云主机</w:t>
            </w:r>
          </w:p>
          <w:p w14:paraId="35C7B0C8">
            <w:pPr>
              <w:rPr>
                <w:rFonts w:ascii="宋体" w:hAnsi="宋体"/>
                <w:szCs w:val="20"/>
              </w:rPr>
            </w:pPr>
            <w:r>
              <w:rPr>
                <w:rFonts w:hint="eastAsia" w:ascii="宋体" w:hAnsi="宋体"/>
                <w:szCs w:val="20"/>
              </w:rPr>
              <w:t>投标人所投的云平台兼容OpenStack架构，能够在云平台控制节点上执行openstack命令；</w:t>
            </w:r>
          </w:p>
          <w:p w14:paraId="383F8A68">
            <w:pPr>
              <w:rPr>
                <w:rFonts w:hint="eastAsia" w:ascii="宋体" w:hAnsi="宋体" w:eastAsia="宋体"/>
                <w:color w:val="FF0000"/>
                <w:szCs w:val="20"/>
                <w:highlight w:val="yellow"/>
                <w:lang w:eastAsia="zh-CN"/>
              </w:rPr>
            </w:pPr>
            <w:r>
              <w:rPr>
                <w:rFonts w:hint="eastAsia" w:ascii="宋体" w:hAnsi="宋体"/>
                <w:color w:val="FF0000"/>
                <w:szCs w:val="20"/>
                <w:highlight w:val="yellow"/>
                <w:lang w:eastAsia="zh-CN"/>
              </w:rPr>
              <w:t>投标人所投的云平台用户在开通时根据需求选择合适的Raid类型，以满足不同的存储配置需求；（无需截图可以满足功能）</w:t>
            </w:r>
          </w:p>
          <w:p w14:paraId="7CC70AE8">
            <w:pPr>
              <w:rPr>
                <w:rFonts w:hint="eastAsia" w:ascii="宋体" w:hAnsi="宋体"/>
                <w:szCs w:val="20"/>
              </w:rPr>
            </w:pPr>
            <w:r>
              <w:rPr>
                <w:rFonts w:hint="eastAsia" w:ascii="宋体" w:hAnsi="宋体"/>
                <w:szCs w:val="20"/>
              </w:rPr>
              <w:t>云主机支持HA机制，提升云主机的可用度，允许云主机出现故障后能够检测和自动拉起，保证云主机业务快速恢复；</w:t>
            </w:r>
          </w:p>
          <w:p w14:paraId="47415412">
            <w:pPr>
              <w:rPr>
                <w:rFonts w:ascii="宋体" w:hAnsi="宋体"/>
                <w:color w:val="FF0000"/>
                <w:szCs w:val="20"/>
                <w:highlight w:val="yellow"/>
              </w:rPr>
            </w:pPr>
            <w:r>
              <w:rPr>
                <w:rFonts w:hint="eastAsia" w:ascii="宋体" w:hAnsi="宋体"/>
                <w:color w:val="FF0000"/>
                <w:szCs w:val="20"/>
                <w:highlight w:val="yellow"/>
              </w:rPr>
              <w:t>支持云主机内存负载监控，能够对内存负载进行查询，可精确计算云主机脏页速率(MB/S)；</w:t>
            </w:r>
          </w:p>
          <w:p w14:paraId="145B047C">
            <w:pPr>
              <w:rPr>
                <w:rFonts w:ascii="宋体" w:hAnsi="宋体"/>
                <w:color w:val="FF0000"/>
                <w:szCs w:val="20"/>
                <w:highlight w:val="yellow"/>
              </w:rPr>
            </w:pPr>
            <w:r>
              <w:rPr>
                <w:rFonts w:hint="eastAsia" w:ascii="宋体" w:hAnsi="宋体"/>
                <w:color w:val="FF0000"/>
                <w:szCs w:val="20"/>
                <w:highlight w:val="yellow"/>
              </w:rPr>
              <w:t>弹性伸缩支持健康检查时间间隔：5、15、60分钟；</w:t>
            </w:r>
          </w:p>
          <w:p w14:paraId="1DE07539">
            <w:pPr>
              <w:rPr>
                <w:rFonts w:ascii="宋体" w:hAnsi="宋体"/>
                <w:szCs w:val="20"/>
              </w:rPr>
            </w:pPr>
            <w:r>
              <w:rPr>
                <w:rFonts w:hint="eastAsia" w:ascii="宋体" w:hAnsi="宋体"/>
                <w:szCs w:val="20"/>
              </w:rPr>
              <w:t>支持云主机热迁移，针对热迁移原理建模，可靠预估迁移时间。支持热迁移增强工具，提高热迁移成功率及热迁移网络中断时间&lt;500ms；</w:t>
            </w:r>
          </w:p>
          <w:p w14:paraId="30D2360B">
            <w:pPr>
              <w:rPr>
                <w:rFonts w:ascii="宋体" w:hAnsi="宋体"/>
                <w:szCs w:val="20"/>
              </w:rPr>
            </w:pPr>
            <w:r>
              <w:rPr>
                <w:rFonts w:hint="eastAsia" w:ascii="宋体" w:hAnsi="宋体"/>
                <w:szCs w:val="20"/>
              </w:rPr>
              <w:t>单个云主机每服务周期服务可用率不低于99.975%；同一区域内多个可用区的弹性云主机每服务周期服务可用率不低于99.995%；</w:t>
            </w:r>
          </w:p>
          <w:p w14:paraId="63FFDB78">
            <w:pPr>
              <w:rPr>
                <w:rFonts w:ascii="宋体" w:hAnsi="宋体"/>
                <w:szCs w:val="20"/>
              </w:rPr>
            </w:pPr>
            <w:r>
              <w:rPr>
                <w:rFonts w:hint="eastAsia" w:ascii="宋体" w:hAnsi="宋体"/>
                <w:szCs w:val="20"/>
              </w:rPr>
              <w:t>支持弹性云主机热升配CPU和内存</w:t>
            </w:r>
          </w:p>
          <w:p w14:paraId="095FFC39">
            <w:pPr>
              <w:rPr>
                <w:rFonts w:ascii="宋体" w:hAnsi="宋体"/>
                <w:szCs w:val="20"/>
              </w:rPr>
            </w:pPr>
            <w:r>
              <w:rPr>
                <w:rFonts w:hint="eastAsia" w:ascii="宋体" w:hAnsi="宋体"/>
                <w:szCs w:val="20"/>
              </w:rPr>
              <w:t>云主机linux操作系统支持非root用户密码，windows操作系统支持非admin用户密码；</w:t>
            </w:r>
          </w:p>
          <w:p w14:paraId="7AB74CAF">
            <w:pPr>
              <w:widowControl/>
              <w:jc w:val="left"/>
              <w:textAlignment w:val="center"/>
              <w:rPr>
                <w:rFonts w:hint="eastAsia" w:ascii="宋体" w:hAnsi="宋体"/>
                <w:szCs w:val="20"/>
              </w:rPr>
            </w:pPr>
            <w:r>
              <w:rPr>
                <w:rFonts w:hint="eastAsia" w:ascii="宋体" w:hAnsi="宋体"/>
                <w:szCs w:val="20"/>
              </w:rPr>
              <w:t>云主机支持创建系统盘镜像、数据盘镜像；</w:t>
            </w:r>
          </w:p>
          <w:p w14:paraId="5521D515">
            <w:pPr>
              <w:rPr>
                <w:rFonts w:ascii="宋体" w:hAnsi="宋体"/>
                <w:szCs w:val="20"/>
              </w:rPr>
            </w:pPr>
            <w:r>
              <w:rPr>
                <w:rFonts w:hint="eastAsia" w:ascii="宋体" w:hAnsi="宋体"/>
                <w:szCs w:val="20"/>
              </w:rPr>
              <w:t>分布式块存储（云硬盘）</w:t>
            </w:r>
          </w:p>
          <w:p w14:paraId="280C9E3C">
            <w:pPr>
              <w:widowControl/>
              <w:jc w:val="left"/>
              <w:textAlignment w:val="center"/>
              <w:rPr>
                <w:rFonts w:hint="eastAsia" w:ascii="宋体" w:hAnsi="宋体"/>
                <w:szCs w:val="20"/>
              </w:rPr>
            </w:pPr>
            <w:r>
              <w:rPr>
                <w:rFonts w:hint="eastAsia" w:ascii="宋体" w:hAnsi="宋体"/>
                <w:szCs w:val="20"/>
              </w:rPr>
              <w:t>▲通过云主机快照申请云主机；</w:t>
            </w:r>
          </w:p>
          <w:p w14:paraId="544C60B7">
            <w:pPr>
              <w:widowControl/>
              <w:jc w:val="left"/>
              <w:textAlignment w:val="center"/>
              <w:rPr>
                <w:rFonts w:hint="eastAsia" w:ascii="宋体" w:hAnsi="宋体"/>
                <w:szCs w:val="20"/>
              </w:rPr>
            </w:pPr>
            <w:r>
              <w:rPr>
                <w:rFonts w:hint="eastAsia" w:ascii="宋体" w:hAnsi="宋体"/>
                <w:szCs w:val="20"/>
              </w:rPr>
              <w:t>支持云主机快照，包括创建整机快照，支持快照恢复、删除，支持云主机快照策略，定时创建快照；（需提供截图证明）</w:t>
            </w:r>
          </w:p>
          <w:p w14:paraId="63D6EB4E">
            <w:pPr>
              <w:rPr>
                <w:rFonts w:ascii="宋体" w:hAnsi="宋体"/>
                <w:szCs w:val="20"/>
              </w:rPr>
            </w:pPr>
            <w:r>
              <w:rPr>
                <w:rFonts w:hint="eastAsia" w:ascii="宋体" w:hAnsi="宋体"/>
                <w:szCs w:val="20"/>
              </w:rPr>
              <w:t>投标人所投的云平台支持批量删除自动快照策略；</w:t>
            </w:r>
          </w:p>
          <w:p w14:paraId="0B0A4B3B">
            <w:pPr>
              <w:rPr>
                <w:rFonts w:ascii="宋体" w:hAnsi="宋体"/>
                <w:szCs w:val="20"/>
              </w:rPr>
            </w:pPr>
            <w:r>
              <w:rPr>
                <w:rFonts w:hint="eastAsia" w:ascii="宋体" w:hAnsi="宋体"/>
                <w:szCs w:val="20"/>
              </w:rPr>
              <w:t>投标人所投的云平台支持云硬盘快照备份策略的开启/停用；</w:t>
            </w:r>
          </w:p>
          <w:p w14:paraId="2A3B0413">
            <w:pPr>
              <w:rPr>
                <w:rFonts w:ascii="宋体" w:hAnsi="宋体"/>
                <w:szCs w:val="20"/>
              </w:rPr>
            </w:pPr>
            <w:r>
              <w:rPr>
                <w:rFonts w:hint="eastAsia" w:ascii="宋体" w:hAnsi="宋体"/>
                <w:szCs w:val="20"/>
              </w:rPr>
              <w:t>支持单个云硬盘存储最大IOPS不小于30000，最大吞吐量不小于250MB/s，随机读写时延不超过1ms；（需提供截图证明）</w:t>
            </w:r>
          </w:p>
          <w:p w14:paraId="72798625">
            <w:pPr>
              <w:rPr>
                <w:rFonts w:ascii="宋体" w:hAnsi="宋体"/>
                <w:szCs w:val="20"/>
              </w:rPr>
            </w:pPr>
            <w:r>
              <w:rPr>
                <w:rFonts w:hint="eastAsia" w:ascii="宋体" w:hAnsi="宋体"/>
                <w:szCs w:val="20"/>
              </w:rPr>
              <w:t>云硬盘数据可用性不低于99.95%，数据持久性不低于99.9999999%；</w:t>
            </w:r>
          </w:p>
          <w:p w14:paraId="38015D91">
            <w:pPr>
              <w:rPr>
                <w:rFonts w:ascii="宋体" w:hAnsi="宋体"/>
                <w:color w:val="FF0000"/>
                <w:szCs w:val="20"/>
                <w:highlight w:val="yellow"/>
              </w:rPr>
            </w:pPr>
            <w:r>
              <w:rPr>
                <w:rFonts w:hint="eastAsia" w:ascii="宋体" w:hAnsi="宋体"/>
                <w:szCs w:val="20"/>
              </w:rPr>
              <w:t>支持云主机I/O悬挂，当云主机使用的存储出现短时间闪断时，支持悬挂云主机当前I/O直到存储恢复，保证云主机业务不受影响。支持通过云主机备份副本进行源机恢复时，选择指定盘进行</w:t>
            </w:r>
            <w:r>
              <w:rPr>
                <w:rFonts w:hint="eastAsia" w:ascii="宋体" w:hAnsi="宋体"/>
                <w:color w:val="FF0000"/>
                <w:szCs w:val="20"/>
                <w:highlight w:val="yellow"/>
              </w:rPr>
              <w:t>恢复操作；</w:t>
            </w:r>
          </w:p>
          <w:p w14:paraId="441F286E">
            <w:pPr>
              <w:rPr>
                <w:rFonts w:ascii="宋体" w:hAnsi="宋体"/>
                <w:color w:val="FF0000"/>
                <w:szCs w:val="20"/>
                <w:highlight w:val="yellow"/>
              </w:rPr>
            </w:pPr>
            <w:r>
              <w:rPr>
                <w:rFonts w:hint="eastAsia" w:ascii="宋体" w:hAnsi="宋体"/>
                <w:color w:val="FF0000"/>
                <w:szCs w:val="20"/>
                <w:highlight w:val="yellow"/>
              </w:rPr>
              <w:t>虚拟网络</w:t>
            </w:r>
          </w:p>
          <w:p w14:paraId="6CA364B7">
            <w:pPr>
              <w:rPr>
                <w:rFonts w:ascii="宋体" w:hAnsi="宋体"/>
                <w:szCs w:val="20"/>
              </w:rPr>
            </w:pPr>
            <w:r>
              <w:rPr>
                <w:rFonts w:hint="eastAsia" w:ascii="宋体" w:hAnsi="宋体"/>
                <w:color w:val="FF0000"/>
                <w:szCs w:val="20"/>
                <w:highlight w:val="yellow"/>
              </w:rPr>
              <w:t>云平台</w:t>
            </w:r>
            <w:r>
              <w:rPr>
                <w:rFonts w:hint="eastAsia" w:ascii="宋体" w:hAnsi="宋体"/>
                <w:szCs w:val="20"/>
              </w:rPr>
              <w:t>应支持vxlan的Overlay隧道隔离技术，通过流表方式实现vRouter能力，VPC内东西向流量可在宿主机之间直接转发，不经过网关；</w:t>
            </w:r>
          </w:p>
          <w:p w14:paraId="790730A1">
            <w:pPr>
              <w:rPr>
                <w:rFonts w:ascii="宋体" w:hAnsi="宋体"/>
                <w:szCs w:val="20"/>
              </w:rPr>
            </w:pPr>
            <w:r>
              <w:rPr>
                <w:rFonts w:hint="eastAsia" w:ascii="宋体" w:hAnsi="宋体"/>
                <w:szCs w:val="20"/>
              </w:rPr>
              <w:t>云网络支持SDN网络架构，提供不同的网络服务：包括虚拟私有云VPC、弹性IP、共享带宽、NAT网关、负载均衡等；</w:t>
            </w:r>
          </w:p>
          <w:p w14:paraId="05118FD8">
            <w:pPr>
              <w:rPr>
                <w:rFonts w:ascii="宋体" w:hAnsi="宋体"/>
                <w:szCs w:val="20"/>
              </w:rPr>
            </w:pPr>
            <w:r>
              <w:rPr>
                <w:rFonts w:hint="eastAsia" w:ascii="宋体" w:hAnsi="宋体"/>
                <w:szCs w:val="20"/>
              </w:rPr>
              <w:t>VPC、弹性IP等均支持IPv4/IPv6双栈能力；（需提供截图证明）</w:t>
            </w:r>
          </w:p>
          <w:p w14:paraId="0EE4FE17">
            <w:pPr>
              <w:rPr>
                <w:rFonts w:ascii="宋体" w:hAnsi="宋体"/>
                <w:color w:val="FF0000"/>
                <w:szCs w:val="20"/>
                <w:highlight w:val="yellow"/>
              </w:rPr>
            </w:pPr>
            <w:r>
              <w:rPr>
                <w:rFonts w:hint="eastAsia" w:ascii="宋体" w:hAnsi="宋体"/>
                <w:color w:val="FF0000"/>
                <w:szCs w:val="20"/>
                <w:highlight w:val="yellow"/>
              </w:rPr>
              <w:t>安全组支持安全组模板；</w:t>
            </w:r>
          </w:p>
          <w:p w14:paraId="79386EA1">
            <w:pPr>
              <w:rPr>
                <w:rFonts w:ascii="宋体" w:hAnsi="宋体"/>
                <w:color w:val="FF0000"/>
                <w:szCs w:val="20"/>
                <w:highlight w:val="yellow"/>
              </w:rPr>
            </w:pPr>
            <w:r>
              <w:rPr>
                <w:rFonts w:hint="eastAsia" w:ascii="宋体" w:hAnsi="宋体"/>
                <w:color w:val="FF0000"/>
                <w:szCs w:val="20"/>
                <w:highlight w:val="yellow"/>
              </w:rPr>
              <w:t>支持设置子网网关地址、DNS服务器地址、DHCP地址；</w:t>
            </w:r>
          </w:p>
          <w:p w14:paraId="3A534907">
            <w:pPr>
              <w:rPr>
                <w:rFonts w:ascii="宋体" w:hAnsi="宋体"/>
                <w:szCs w:val="20"/>
              </w:rPr>
            </w:pPr>
            <w:r>
              <w:rPr>
                <w:rFonts w:hint="eastAsia" w:ascii="宋体" w:hAnsi="宋体"/>
                <w:szCs w:val="20"/>
              </w:rPr>
              <w:t>负载均衡支持后端添加裸金属主机（需提供截图证明）</w:t>
            </w:r>
          </w:p>
          <w:p w14:paraId="322D1BB0">
            <w:pPr>
              <w:rPr>
                <w:rFonts w:ascii="宋体" w:hAnsi="宋体"/>
                <w:color w:val="FF0000"/>
                <w:szCs w:val="20"/>
                <w:highlight w:val="yellow"/>
              </w:rPr>
            </w:pPr>
            <w:r>
              <w:rPr>
                <w:rFonts w:hint="eastAsia" w:ascii="宋体" w:hAnsi="宋体"/>
                <w:szCs w:val="20"/>
              </w:rPr>
              <w:t>支持单栈IPv6子网，云主机、裸金属间使用单</w:t>
            </w:r>
            <w:r>
              <w:rPr>
                <w:rFonts w:hint="eastAsia" w:ascii="宋体" w:hAnsi="宋体"/>
                <w:color w:val="FF0000"/>
                <w:szCs w:val="20"/>
                <w:highlight w:val="yellow"/>
              </w:rPr>
              <w:t>栈IPV6协议进行IPV6互访；</w:t>
            </w:r>
          </w:p>
          <w:p w14:paraId="5057BAB0">
            <w:pPr>
              <w:rPr>
                <w:rFonts w:ascii="宋体" w:hAnsi="宋体"/>
                <w:color w:val="FF0000"/>
                <w:szCs w:val="20"/>
                <w:highlight w:val="yellow"/>
              </w:rPr>
            </w:pPr>
            <w:r>
              <w:rPr>
                <w:rFonts w:hint="eastAsia" w:ascii="宋体" w:hAnsi="宋体"/>
                <w:color w:val="FF0000"/>
                <w:szCs w:val="20"/>
                <w:highlight w:val="yellow"/>
              </w:rPr>
              <w:t>支持设置子网网关地址、DNS服务器地址、DHCP地址；</w:t>
            </w:r>
          </w:p>
          <w:p w14:paraId="5FC7075E">
            <w:pPr>
              <w:rPr>
                <w:rFonts w:ascii="宋体" w:hAnsi="宋体"/>
                <w:color w:val="FF0000"/>
                <w:szCs w:val="20"/>
                <w:highlight w:val="yellow"/>
              </w:rPr>
            </w:pPr>
            <w:r>
              <w:rPr>
                <w:rFonts w:hint="eastAsia" w:ascii="宋体" w:hAnsi="宋体"/>
                <w:szCs w:val="20"/>
              </w:rPr>
              <w:t>负载均衡支持后端添加裸金属主机（需提供截图</w:t>
            </w:r>
            <w:r>
              <w:rPr>
                <w:rFonts w:hint="eastAsia" w:ascii="宋体" w:hAnsi="宋体"/>
                <w:color w:val="FF0000"/>
                <w:szCs w:val="20"/>
                <w:highlight w:val="yellow"/>
              </w:rPr>
              <w:t>证明）</w:t>
            </w:r>
          </w:p>
          <w:p w14:paraId="2641ACD9">
            <w:pPr>
              <w:rPr>
                <w:rFonts w:ascii="宋体" w:hAnsi="宋体"/>
                <w:color w:val="FF0000"/>
                <w:szCs w:val="20"/>
                <w:highlight w:val="yellow"/>
              </w:rPr>
            </w:pPr>
            <w:r>
              <w:rPr>
                <w:rFonts w:hint="eastAsia" w:ascii="宋体" w:hAnsi="宋体"/>
                <w:color w:val="FF0000"/>
                <w:szCs w:val="20"/>
                <w:highlight w:val="yellow"/>
              </w:rPr>
              <w:t>云资源管理平台</w:t>
            </w:r>
          </w:p>
          <w:p w14:paraId="696AC848">
            <w:pPr>
              <w:rPr>
                <w:rFonts w:ascii="宋体" w:hAnsi="宋体"/>
                <w:szCs w:val="20"/>
              </w:rPr>
            </w:pPr>
            <w:r>
              <w:rPr>
                <w:rFonts w:hint="eastAsia" w:ascii="宋体" w:hAnsi="宋体"/>
                <w:szCs w:val="20"/>
              </w:rPr>
              <w:t>云管平台提供实时的监控告警可视化能力，用户可查看资源使用情况，包括资源总览、用量统计、宿主机/裸金属服务器各项性能指标实时监控、云环境告警排名以及告警详情；（需提供截图证明）</w:t>
            </w:r>
          </w:p>
          <w:p w14:paraId="4991A3F7">
            <w:pPr>
              <w:rPr>
                <w:rFonts w:ascii="宋体" w:hAnsi="宋体"/>
                <w:color w:val="FF0000"/>
                <w:szCs w:val="20"/>
                <w:highlight w:val="yellow"/>
              </w:rPr>
            </w:pPr>
            <w:r>
              <w:rPr>
                <w:rFonts w:hint="eastAsia" w:ascii="宋体" w:hAnsi="宋体"/>
                <w:szCs w:val="20"/>
              </w:rPr>
              <w:t>云管平台支持短信登陆、账号密码登录、多因子登录功能，支持通过邮箱/手机验证，找回并重置密码，支持平台账号和子账号登录，采用密码</w:t>
            </w:r>
            <w:r>
              <w:rPr>
                <w:rFonts w:hint="eastAsia" w:ascii="宋体" w:hAnsi="宋体"/>
                <w:color w:val="FF0000"/>
                <w:szCs w:val="20"/>
                <w:highlight w:val="yellow"/>
              </w:rPr>
              <w:t>+验证码的双重登录校验；</w:t>
            </w:r>
          </w:p>
          <w:p w14:paraId="06F5CBD2">
            <w:pPr>
              <w:rPr>
                <w:rFonts w:ascii="宋体" w:hAnsi="宋体"/>
                <w:color w:val="FF0000"/>
                <w:szCs w:val="20"/>
                <w:highlight w:val="yellow"/>
              </w:rPr>
            </w:pPr>
            <w:r>
              <w:rPr>
                <w:rFonts w:hint="eastAsia" w:ascii="宋体" w:hAnsi="宋体"/>
                <w:color w:val="FF0000"/>
                <w:szCs w:val="20"/>
                <w:highlight w:val="yellow"/>
              </w:rPr>
              <w:t>IAAS资源统一开通和管理，统一用户权限、计量计费、运维监控告警管理。</w:t>
            </w:r>
          </w:p>
          <w:p w14:paraId="142AFC6D">
            <w:pPr>
              <w:rPr>
                <w:rFonts w:ascii="宋体" w:hAnsi="宋体"/>
                <w:szCs w:val="20"/>
              </w:rPr>
            </w:pPr>
            <w:r>
              <w:rPr>
                <w:rFonts w:hint="eastAsia" w:ascii="宋体" w:hAnsi="宋体"/>
                <w:color w:val="FF0000"/>
                <w:szCs w:val="20"/>
                <w:highlight w:val="yellow"/>
              </w:rPr>
              <w:t>提供云资源池截</w:t>
            </w:r>
            <w:r>
              <w:rPr>
                <w:rFonts w:hint="eastAsia" w:ascii="宋体" w:hAnsi="宋体"/>
                <w:szCs w:val="20"/>
              </w:rPr>
              <w:t>至投标当天有效的等保2.0测评三级及以上合格证书；（需提供截图证明）</w:t>
            </w:r>
          </w:p>
          <w:p w14:paraId="4FA2D795">
            <w:pPr>
              <w:rPr>
                <w:rFonts w:ascii="宋体" w:hAnsi="宋体"/>
                <w:szCs w:val="20"/>
              </w:rPr>
            </w:pPr>
            <w:r>
              <w:rPr>
                <w:rFonts w:hint="eastAsia" w:ascii="宋体" w:hAnsi="宋体"/>
                <w:szCs w:val="20"/>
              </w:rPr>
              <w:t>云下一代防火墙服务</w:t>
            </w:r>
          </w:p>
          <w:p w14:paraId="4A7C3287">
            <w:pPr>
              <w:rPr>
                <w:rFonts w:hint="eastAsia" w:ascii="宋体" w:hAnsi="宋体"/>
                <w:color w:val="FF0000"/>
                <w:szCs w:val="20"/>
                <w:highlight w:val="yellow"/>
              </w:rPr>
            </w:pPr>
            <w:r>
              <w:rPr>
                <w:rFonts w:ascii="宋体" w:hAnsi="宋体"/>
                <w:szCs w:val="20"/>
              </w:rPr>
              <w:t>云安全管理平台支持提供智慧防火墙服务，用户支持选择云智慧防火墙的规格、授权、使用时长，</w:t>
            </w:r>
            <w:r>
              <w:rPr>
                <w:rFonts w:ascii="宋体" w:hAnsi="宋体"/>
                <w:color w:val="FF0000"/>
                <w:szCs w:val="20"/>
                <w:highlight w:val="yellow"/>
              </w:rPr>
              <w:t>以及所属的区域、集群和网络；</w:t>
            </w:r>
          </w:p>
          <w:p w14:paraId="5BC89F71">
            <w:pPr>
              <w:rPr>
                <w:rFonts w:ascii="宋体" w:hAnsi="宋体"/>
                <w:color w:val="FF0000"/>
                <w:szCs w:val="20"/>
                <w:highlight w:val="yellow"/>
              </w:rPr>
            </w:pPr>
            <w:r>
              <w:rPr>
                <w:rFonts w:hint="eastAsia" w:ascii="宋体" w:hAnsi="宋体"/>
                <w:color w:val="FF0000"/>
                <w:szCs w:val="20"/>
                <w:highlight w:val="yellow"/>
              </w:rPr>
              <w:t>Web应用防火墙服务</w:t>
            </w:r>
          </w:p>
          <w:p w14:paraId="339F1381">
            <w:pPr>
              <w:rPr>
                <w:rFonts w:ascii="宋体" w:hAnsi="宋体"/>
                <w:color w:val="FF0000"/>
                <w:szCs w:val="20"/>
                <w:highlight w:val="yellow"/>
              </w:rPr>
            </w:pPr>
            <w:r>
              <w:rPr>
                <w:rFonts w:hint="eastAsia" w:ascii="宋体" w:hAnsi="宋体"/>
                <w:szCs w:val="20"/>
              </w:rPr>
              <w:t>WAF服务支持移动端对资产的一键断网功能，提</w:t>
            </w:r>
            <w:r>
              <w:rPr>
                <w:rFonts w:hint="eastAsia" w:ascii="宋体" w:hAnsi="宋体"/>
                <w:color w:val="FF0000"/>
                <w:szCs w:val="20"/>
                <w:highlight w:val="yellow"/>
              </w:rPr>
              <w:t>供网站一键下线以及批量下线的应急措施；</w:t>
            </w:r>
          </w:p>
          <w:p w14:paraId="7EEED79E">
            <w:pPr>
              <w:rPr>
                <w:rFonts w:ascii="宋体" w:hAnsi="宋体"/>
                <w:color w:val="FF0000"/>
                <w:szCs w:val="20"/>
                <w:highlight w:val="yellow"/>
              </w:rPr>
            </w:pPr>
            <w:r>
              <w:rPr>
                <w:rFonts w:hint="eastAsia" w:ascii="宋体" w:hAnsi="宋体"/>
                <w:color w:val="FF0000"/>
                <w:szCs w:val="20"/>
                <w:highlight w:val="yellow"/>
              </w:rPr>
              <w:t>日志审计服务</w:t>
            </w:r>
          </w:p>
          <w:p w14:paraId="2B14A7B2">
            <w:pPr>
              <w:rPr>
                <w:rFonts w:ascii="宋体" w:hAnsi="宋体"/>
                <w:szCs w:val="20"/>
              </w:rPr>
            </w:pPr>
            <w:r>
              <w:rPr>
                <w:rFonts w:hint="eastAsia" w:ascii="宋体" w:hAnsi="宋体"/>
                <w:szCs w:val="20"/>
              </w:rPr>
              <w:t>日志审计服务支持市面主流安全设备、网络设备、中间件、服务器、数据库、操作系统等设备对象的日志数据采集。</w:t>
            </w:r>
          </w:p>
          <w:p w14:paraId="245FB91B">
            <w:pPr>
              <w:widowControl/>
              <w:jc w:val="left"/>
              <w:textAlignment w:val="center"/>
              <w:rPr>
                <w:rFonts w:hint="eastAsia" w:ascii="宋体" w:hAnsi="宋体"/>
                <w:szCs w:val="20"/>
              </w:rPr>
            </w:pPr>
          </w:p>
          <w:p w14:paraId="2ACBC04B">
            <w:pPr>
              <w:rPr>
                <w:rFonts w:ascii="宋体" w:hAnsi="宋体"/>
                <w:color w:val="FF0000"/>
                <w:szCs w:val="20"/>
                <w:highlight w:val="yellow"/>
              </w:rPr>
            </w:pPr>
            <w:r>
              <w:rPr>
                <w:rFonts w:ascii="宋体" w:hAnsi="宋体"/>
                <w:szCs w:val="20"/>
              </w:rPr>
              <w:t>日志审计服务对单位内的设备类型、应用类型、协议类型等信息为基础，梳理出设备、应用、协</w:t>
            </w:r>
            <w:r>
              <w:rPr>
                <w:rFonts w:ascii="宋体" w:hAnsi="宋体"/>
                <w:color w:val="FF0000"/>
                <w:szCs w:val="20"/>
                <w:highlight w:val="yellow"/>
              </w:rPr>
              <w:t>议等之间的访问关系，实时树立访问关系；</w:t>
            </w:r>
          </w:p>
          <w:p w14:paraId="588E3E65">
            <w:pPr>
              <w:rPr>
                <w:rFonts w:ascii="宋体" w:hAnsi="宋体"/>
                <w:color w:val="FF0000"/>
                <w:szCs w:val="20"/>
                <w:highlight w:val="yellow"/>
              </w:rPr>
            </w:pPr>
            <w:r>
              <w:rPr>
                <w:rFonts w:hint="eastAsia" w:ascii="宋体" w:hAnsi="宋体"/>
                <w:color w:val="FF0000"/>
                <w:szCs w:val="20"/>
                <w:highlight w:val="yellow"/>
              </w:rPr>
              <w:t>堡垒机服务</w:t>
            </w:r>
          </w:p>
          <w:p w14:paraId="25EDEFAA">
            <w:pPr>
              <w:rPr>
                <w:rFonts w:hint="eastAsia" w:ascii="宋体" w:hAnsi="宋体"/>
                <w:szCs w:val="20"/>
              </w:rPr>
            </w:pPr>
            <w:r>
              <w:rPr>
                <w:rFonts w:hint="eastAsia" w:ascii="宋体" w:hAnsi="宋体"/>
                <w:szCs w:val="20"/>
              </w:rPr>
              <w:t>堡垒机服务可根据部门、用户、用户组、资源账户、账户组、双人授权、动态令牌、有效期、文件管理控制、文件传输控制（上传、下载）、上行剪切板、下行剪切板、水印、OCR识别、磁盘映射、RDP剪切板控制、键盘审计控制、时间限制（允许登陆、禁止登陆）、IP限制（黑白名单）为条件，细粒度地进行访问控制。</w:t>
            </w:r>
          </w:p>
          <w:p w14:paraId="7BAA05B1">
            <w:pPr>
              <w:rPr>
                <w:rFonts w:hint="eastAsia" w:ascii="宋体" w:hAnsi="宋体"/>
                <w:szCs w:val="20"/>
              </w:rPr>
            </w:pPr>
            <w:r>
              <w:rPr>
                <w:rFonts w:hint="eastAsia" w:ascii="宋体" w:hAnsi="宋体"/>
                <w:szCs w:val="20"/>
              </w:rPr>
              <w:t>堡垒机服务支持认证方式组合使用，例如使用AD域+手机短信、AD域+Radius认证、Radius认证+手机令牌等多种组合方式登录，支持按用户访问的源IP地址进行不同的认证方式</w:t>
            </w:r>
          </w:p>
          <w:p w14:paraId="1D435C3F">
            <w:pPr>
              <w:rPr>
                <w:rFonts w:ascii="宋体" w:hAnsi="宋体"/>
                <w:szCs w:val="20"/>
              </w:rPr>
            </w:pPr>
            <w:r>
              <w:rPr>
                <w:rFonts w:hint="eastAsia" w:ascii="宋体" w:hAnsi="宋体"/>
                <w:szCs w:val="20"/>
              </w:rPr>
              <w:t>漏洞扫描</w:t>
            </w:r>
          </w:p>
          <w:p w14:paraId="6BCCF994">
            <w:pPr>
              <w:rPr>
                <w:rFonts w:ascii="宋体" w:hAnsi="宋体"/>
                <w:szCs w:val="20"/>
              </w:rPr>
            </w:pPr>
            <w:r>
              <w:rPr>
                <w:rFonts w:hint="eastAsia" w:ascii="宋体" w:hAnsi="宋体"/>
                <w:szCs w:val="20"/>
              </w:rPr>
              <w:t>漏洞扫描产品集成系统扫描、WEB扫描、口令猜解、存活探测于一体，无需单独选配；</w:t>
            </w:r>
          </w:p>
          <w:p w14:paraId="14CC318F">
            <w:pPr>
              <w:widowControl/>
              <w:jc w:val="left"/>
              <w:textAlignment w:val="center"/>
              <w:rPr>
                <w:rFonts w:ascii="宋体" w:hAnsi="宋体"/>
                <w:szCs w:val="20"/>
              </w:rPr>
            </w:pPr>
            <w:r>
              <w:rPr>
                <w:rFonts w:hint="eastAsia" w:ascii="宋体" w:hAnsi="宋体"/>
                <w:szCs w:val="20"/>
              </w:rPr>
              <w:t>支持340000条以上系统漏洞库，并按照漏洞类别及漏洞威胁程度进行分类；</w:t>
            </w:r>
            <w:r>
              <w:rPr>
                <w:rFonts w:ascii="宋体" w:hAnsi="宋体"/>
                <w:szCs w:val="20"/>
              </w:rPr>
              <w:t>（需提供截图证明）</w:t>
            </w:r>
          </w:p>
          <w:p w14:paraId="7300FFD8">
            <w:pPr>
              <w:rPr>
                <w:rFonts w:ascii="宋体" w:hAnsi="宋体"/>
                <w:szCs w:val="20"/>
              </w:rPr>
            </w:pPr>
          </w:p>
        </w:tc>
        <w:tc>
          <w:tcPr>
            <w:tcW w:w="922" w:type="dxa"/>
            <w:vAlign w:val="center"/>
          </w:tcPr>
          <w:p w14:paraId="16E64D57">
            <w:pPr>
              <w:widowControl/>
              <w:spacing w:line="240" w:lineRule="auto"/>
              <w:jc w:val="center"/>
              <w:rPr>
                <w:rFonts w:ascii="宋体" w:hAnsi="宋体"/>
                <w:szCs w:val="20"/>
              </w:rPr>
            </w:pPr>
            <w:r>
              <w:rPr>
                <w:rFonts w:hint="eastAsia" w:ascii="宋体" w:hAnsi="宋体"/>
                <w:szCs w:val="20"/>
              </w:rPr>
              <w:t>3</w:t>
            </w:r>
          </w:p>
        </w:tc>
        <w:tc>
          <w:tcPr>
            <w:tcW w:w="820" w:type="dxa"/>
            <w:vAlign w:val="center"/>
          </w:tcPr>
          <w:p w14:paraId="6575E5D6">
            <w:pPr>
              <w:widowControl/>
              <w:spacing w:line="240" w:lineRule="auto"/>
              <w:jc w:val="center"/>
              <w:rPr>
                <w:rFonts w:ascii="宋体" w:hAnsi="宋体"/>
                <w:szCs w:val="20"/>
              </w:rPr>
            </w:pPr>
            <w:r>
              <w:rPr>
                <w:rFonts w:hint="eastAsia" w:ascii="宋体" w:hAnsi="宋体"/>
                <w:szCs w:val="20"/>
              </w:rPr>
              <w:t>年</w:t>
            </w:r>
          </w:p>
        </w:tc>
      </w:tr>
      <w:tr w14:paraId="268B0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0636CED1">
            <w:pPr>
              <w:pStyle w:val="70"/>
              <w:widowControl/>
              <w:numPr>
                <w:ilvl w:val="0"/>
                <w:numId w:val="56"/>
              </w:numPr>
              <w:spacing w:line="240" w:lineRule="auto"/>
              <w:ind w:firstLineChars="0"/>
              <w:rPr>
                <w:szCs w:val="20"/>
              </w:rPr>
            </w:pPr>
          </w:p>
        </w:tc>
        <w:tc>
          <w:tcPr>
            <w:tcW w:w="1190" w:type="dxa"/>
            <w:vAlign w:val="center"/>
          </w:tcPr>
          <w:p w14:paraId="122BFE4F">
            <w:pPr>
              <w:widowControl/>
              <w:spacing w:line="240" w:lineRule="auto"/>
              <w:ind w:left="480" w:hanging="480" w:hangingChars="200"/>
              <w:jc w:val="center"/>
              <w:rPr>
                <w:rFonts w:ascii="宋体" w:hAnsi="宋体"/>
                <w:szCs w:val="20"/>
              </w:rPr>
            </w:pPr>
            <w:r>
              <w:rPr>
                <w:rFonts w:hint="eastAsia" w:ascii="宋体" w:hAnsi="宋体"/>
                <w:szCs w:val="20"/>
              </w:rPr>
              <w:t>一体化运营服务云资源</w:t>
            </w:r>
          </w:p>
        </w:tc>
        <w:tc>
          <w:tcPr>
            <w:tcW w:w="5166" w:type="dxa"/>
            <w:vAlign w:val="center"/>
          </w:tcPr>
          <w:p w14:paraId="1A18C34F">
            <w:pPr>
              <w:rPr>
                <w:rFonts w:ascii="宋体" w:hAnsi="宋体"/>
                <w:szCs w:val="20"/>
              </w:rPr>
            </w:pPr>
            <w:r>
              <w:rPr>
                <w:rFonts w:hint="eastAsia" w:ascii="宋体" w:hAnsi="宋体"/>
                <w:szCs w:val="20"/>
              </w:rPr>
              <w:t>Cpu</w:t>
            </w:r>
            <w:r>
              <w:rPr>
                <w:rFonts w:ascii="宋体" w:hAnsi="宋体"/>
                <w:szCs w:val="20"/>
              </w:rPr>
              <w:t>≥</w:t>
            </w:r>
            <w:r>
              <w:rPr>
                <w:rFonts w:hint="eastAsia" w:ascii="宋体" w:hAnsi="宋体"/>
                <w:szCs w:val="20"/>
              </w:rPr>
              <w:t>235核  内存</w:t>
            </w:r>
            <w:r>
              <w:rPr>
                <w:rFonts w:ascii="宋体" w:hAnsi="宋体"/>
                <w:szCs w:val="20"/>
              </w:rPr>
              <w:t>≥</w:t>
            </w:r>
            <w:r>
              <w:rPr>
                <w:rFonts w:hint="eastAsia" w:ascii="宋体" w:hAnsi="宋体"/>
                <w:szCs w:val="20"/>
              </w:rPr>
              <w:t>585G  系统盘及数据盘合计</w:t>
            </w:r>
            <w:r>
              <w:rPr>
                <w:rFonts w:ascii="宋体" w:hAnsi="宋体"/>
                <w:szCs w:val="20"/>
              </w:rPr>
              <w:t>≥</w:t>
            </w:r>
            <w:r>
              <w:rPr>
                <w:rFonts w:hint="eastAsia" w:ascii="宋体" w:hAnsi="宋体"/>
                <w:szCs w:val="20"/>
              </w:rPr>
              <w:t>21T.</w:t>
            </w:r>
          </w:p>
          <w:p w14:paraId="46A86AAE">
            <w:pPr>
              <w:rPr>
                <w:rFonts w:ascii="宋体" w:hAnsi="宋体"/>
                <w:szCs w:val="20"/>
              </w:rPr>
            </w:pPr>
            <w:r>
              <w:rPr>
                <w:rFonts w:hint="eastAsia" w:ascii="宋体" w:hAnsi="宋体"/>
                <w:szCs w:val="20"/>
              </w:rPr>
              <w:t>虚拟化云主机</w:t>
            </w:r>
          </w:p>
          <w:p w14:paraId="610495C3">
            <w:pPr>
              <w:rPr>
                <w:rFonts w:ascii="宋体" w:hAnsi="宋体"/>
                <w:szCs w:val="20"/>
              </w:rPr>
            </w:pPr>
            <w:r>
              <w:rPr>
                <w:rFonts w:hint="eastAsia" w:ascii="宋体" w:hAnsi="宋体"/>
                <w:szCs w:val="20"/>
              </w:rPr>
              <w:t>投标人所投的云平台兼容OpenStack架构，能够在云平台控制节点上执行openstack命令；</w:t>
            </w:r>
          </w:p>
          <w:p w14:paraId="3F81F132">
            <w:pPr>
              <w:rPr>
                <w:rFonts w:hint="eastAsia" w:ascii="宋体" w:hAnsi="宋体" w:eastAsia="宋体"/>
                <w:color w:val="FF0000"/>
                <w:szCs w:val="20"/>
                <w:lang w:eastAsia="zh-CN"/>
              </w:rPr>
            </w:pPr>
            <w:r>
              <w:rPr>
                <w:rFonts w:hint="eastAsia" w:ascii="宋体" w:hAnsi="宋体"/>
                <w:szCs w:val="20"/>
                <w:lang w:eastAsia="zh-CN"/>
              </w:rPr>
              <w:t>投标人所投的云</w:t>
            </w:r>
            <w:r>
              <w:rPr>
                <w:rFonts w:hint="eastAsia" w:ascii="宋体" w:hAnsi="宋体"/>
                <w:color w:val="FF0000"/>
                <w:szCs w:val="20"/>
                <w:highlight w:val="yellow"/>
                <w:lang w:eastAsia="zh-CN"/>
              </w:rPr>
              <w:t>平台，用户</w:t>
            </w:r>
            <w:r>
              <w:rPr>
                <w:rFonts w:hint="eastAsia" w:ascii="宋体" w:hAnsi="宋体"/>
                <w:szCs w:val="20"/>
                <w:lang w:eastAsia="zh-CN"/>
              </w:rPr>
              <w:t>在开通时根据需求选择合适的Raid类型，以满足不同的存储配置需求；（无需截图可以满足功能）</w:t>
            </w:r>
          </w:p>
          <w:p w14:paraId="09D95CFB">
            <w:pPr>
              <w:rPr>
                <w:rFonts w:hint="eastAsia" w:ascii="宋体" w:hAnsi="宋体"/>
                <w:szCs w:val="20"/>
              </w:rPr>
            </w:pPr>
            <w:r>
              <w:rPr>
                <w:rFonts w:hint="eastAsia" w:ascii="宋体" w:hAnsi="宋体"/>
                <w:szCs w:val="20"/>
              </w:rPr>
              <w:t>云主机支持HA机制，提升云主机的可用度，允许云主机出现故障后能够检测和自动拉起，保证云主机业务快速恢复；</w:t>
            </w:r>
          </w:p>
          <w:p w14:paraId="60F220B7">
            <w:pPr>
              <w:rPr>
                <w:rFonts w:ascii="宋体" w:hAnsi="宋体"/>
                <w:color w:val="FF0000"/>
                <w:szCs w:val="20"/>
                <w:highlight w:val="yellow"/>
              </w:rPr>
            </w:pPr>
            <w:r>
              <w:rPr>
                <w:rFonts w:hint="eastAsia" w:ascii="宋体" w:hAnsi="宋体"/>
                <w:szCs w:val="20"/>
              </w:rPr>
              <w:t>支持云主机内存负载监控，能够对内存负载进行</w:t>
            </w:r>
            <w:r>
              <w:rPr>
                <w:rFonts w:hint="eastAsia" w:ascii="宋体" w:hAnsi="宋体"/>
                <w:color w:val="FF0000"/>
                <w:szCs w:val="20"/>
                <w:highlight w:val="yellow"/>
              </w:rPr>
              <w:t>查询，可精确计算云主机脏页速率(MB/S)；</w:t>
            </w:r>
          </w:p>
          <w:p w14:paraId="3E0C98B7">
            <w:pPr>
              <w:rPr>
                <w:rFonts w:ascii="宋体" w:hAnsi="宋体"/>
                <w:color w:val="FF0000"/>
                <w:szCs w:val="20"/>
                <w:highlight w:val="yellow"/>
              </w:rPr>
            </w:pPr>
            <w:r>
              <w:rPr>
                <w:rFonts w:hint="eastAsia" w:ascii="宋体" w:hAnsi="宋体"/>
                <w:color w:val="FF0000"/>
                <w:szCs w:val="20"/>
                <w:highlight w:val="yellow"/>
              </w:rPr>
              <w:t>弹性伸缩支持健康检查时间间隔：5、15、60分钟；</w:t>
            </w:r>
          </w:p>
          <w:p w14:paraId="68757A42">
            <w:pPr>
              <w:rPr>
                <w:rFonts w:ascii="宋体" w:hAnsi="宋体"/>
                <w:szCs w:val="20"/>
              </w:rPr>
            </w:pPr>
            <w:r>
              <w:rPr>
                <w:rFonts w:hint="eastAsia" w:ascii="宋体" w:hAnsi="宋体"/>
                <w:color w:val="FF0000"/>
                <w:szCs w:val="20"/>
                <w:highlight w:val="yellow"/>
              </w:rPr>
              <w:t>支持云主机热迁移，针对热迁移原理建模，可靠</w:t>
            </w:r>
            <w:r>
              <w:rPr>
                <w:rFonts w:hint="eastAsia" w:ascii="宋体" w:hAnsi="宋体"/>
                <w:szCs w:val="20"/>
              </w:rPr>
              <w:t>预估迁移时间。支持热迁移增强工具，提高热迁移成功率及热迁移网络中断时间&lt;500ms；</w:t>
            </w:r>
          </w:p>
          <w:p w14:paraId="61E8F813">
            <w:pPr>
              <w:rPr>
                <w:rFonts w:ascii="宋体" w:hAnsi="宋体"/>
                <w:szCs w:val="20"/>
              </w:rPr>
            </w:pPr>
            <w:r>
              <w:rPr>
                <w:rFonts w:hint="eastAsia" w:ascii="宋体" w:hAnsi="宋体"/>
                <w:szCs w:val="20"/>
              </w:rPr>
              <w:t>单个云主机每服务周期服务可用率不低于99.975%；同一区域内多个可用区的弹性云主机每服务周期服务可用率不低于99.995%；</w:t>
            </w:r>
          </w:p>
          <w:p w14:paraId="7247F7F6">
            <w:pPr>
              <w:widowControl/>
              <w:jc w:val="left"/>
              <w:textAlignment w:val="center"/>
              <w:rPr>
                <w:rFonts w:hint="eastAsia" w:ascii="宋体" w:hAnsi="宋体"/>
                <w:szCs w:val="20"/>
              </w:rPr>
            </w:pPr>
            <w:r>
              <w:rPr>
                <w:rFonts w:hint="eastAsia" w:ascii="宋体" w:hAnsi="宋体"/>
                <w:szCs w:val="20"/>
              </w:rPr>
              <w:t>支持弹性云主机热升配CPU和内存</w:t>
            </w:r>
          </w:p>
          <w:p w14:paraId="79F009AA">
            <w:pPr>
              <w:widowControl/>
              <w:jc w:val="left"/>
              <w:textAlignment w:val="center"/>
              <w:rPr>
                <w:rFonts w:hint="eastAsia" w:ascii="宋体" w:hAnsi="宋体"/>
                <w:szCs w:val="20"/>
              </w:rPr>
            </w:pPr>
            <w:r>
              <w:rPr>
                <w:rFonts w:hint="eastAsia" w:ascii="宋体" w:hAnsi="宋体"/>
                <w:szCs w:val="20"/>
              </w:rPr>
              <w:t>云主机linux操作系统支持非root用户密码，windows操作系统支持非admin用户密码；</w:t>
            </w:r>
          </w:p>
          <w:p w14:paraId="087F5269">
            <w:pPr>
              <w:widowControl/>
              <w:jc w:val="left"/>
              <w:textAlignment w:val="center"/>
              <w:rPr>
                <w:rFonts w:hint="eastAsia" w:ascii="宋体" w:hAnsi="宋体"/>
                <w:szCs w:val="20"/>
              </w:rPr>
            </w:pPr>
            <w:r>
              <w:rPr>
                <w:rFonts w:hint="eastAsia" w:ascii="宋体" w:hAnsi="宋体"/>
                <w:szCs w:val="20"/>
              </w:rPr>
              <w:t>云主机支持创建系统盘镜像、数据盘镜像；</w:t>
            </w:r>
          </w:p>
          <w:p w14:paraId="033242B5">
            <w:pPr>
              <w:rPr>
                <w:rFonts w:ascii="宋体" w:hAnsi="宋体"/>
                <w:szCs w:val="20"/>
              </w:rPr>
            </w:pPr>
            <w:r>
              <w:rPr>
                <w:rFonts w:hint="eastAsia" w:ascii="宋体" w:hAnsi="宋体"/>
                <w:szCs w:val="20"/>
              </w:rPr>
              <w:t>分布式块存储（云硬盘）</w:t>
            </w:r>
          </w:p>
          <w:p w14:paraId="54A6D5BE">
            <w:pPr>
              <w:rPr>
                <w:rFonts w:ascii="宋体" w:hAnsi="宋体"/>
                <w:szCs w:val="20"/>
              </w:rPr>
            </w:pPr>
            <w:r>
              <w:rPr>
                <w:rFonts w:hint="eastAsia" w:ascii="宋体" w:hAnsi="宋体"/>
                <w:szCs w:val="20"/>
              </w:rPr>
              <w:t>通过云主机快照申请云主机；</w:t>
            </w:r>
          </w:p>
          <w:p w14:paraId="2E803D60">
            <w:pPr>
              <w:widowControl/>
              <w:jc w:val="left"/>
              <w:textAlignment w:val="center"/>
              <w:rPr>
                <w:rFonts w:hint="eastAsia" w:ascii="宋体" w:hAnsi="宋体"/>
                <w:szCs w:val="20"/>
              </w:rPr>
            </w:pPr>
            <w:r>
              <w:rPr>
                <w:rFonts w:hint="eastAsia" w:ascii="宋体" w:hAnsi="宋体"/>
                <w:szCs w:val="20"/>
              </w:rPr>
              <w:t>支持云主机快照，包括创建整机快照，支持快照恢复、删除，支持云主机快照策略，定时创建快照；</w:t>
            </w:r>
          </w:p>
          <w:p w14:paraId="69ABFF9B">
            <w:pPr>
              <w:rPr>
                <w:rFonts w:ascii="宋体" w:hAnsi="宋体"/>
                <w:szCs w:val="20"/>
              </w:rPr>
            </w:pPr>
            <w:r>
              <w:rPr>
                <w:rFonts w:hint="eastAsia" w:ascii="宋体" w:hAnsi="宋体"/>
                <w:szCs w:val="20"/>
              </w:rPr>
              <w:t>投标人所投的云平台支持批量删除自动快照策略；</w:t>
            </w:r>
          </w:p>
          <w:p w14:paraId="3C8FF596">
            <w:pPr>
              <w:rPr>
                <w:rFonts w:ascii="宋体" w:hAnsi="宋体"/>
                <w:szCs w:val="20"/>
              </w:rPr>
            </w:pPr>
            <w:r>
              <w:rPr>
                <w:rFonts w:hint="eastAsia" w:ascii="宋体" w:hAnsi="宋体"/>
                <w:szCs w:val="20"/>
              </w:rPr>
              <w:t>投标人所投的云平台支持云硬盘快照备份策略的开启/停用；</w:t>
            </w:r>
          </w:p>
          <w:p w14:paraId="3F1D09D3">
            <w:pPr>
              <w:widowControl/>
              <w:jc w:val="left"/>
              <w:textAlignment w:val="center"/>
              <w:rPr>
                <w:rFonts w:hint="eastAsia" w:ascii="宋体" w:hAnsi="宋体"/>
                <w:szCs w:val="20"/>
              </w:rPr>
            </w:pPr>
            <w:r>
              <w:rPr>
                <w:rFonts w:hint="eastAsia" w:ascii="宋体" w:hAnsi="宋体"/>
                <w:szCs w:val="20"/>
              </w:rPr>
              <w:t>支持单个云硬盘存储最大IOPS不小于30000，最大吞吐量不小于250MB/s，随机读写时延不超过1ms；</w:t>
            </w:r>
          </w:p>
          <w:p w14:paraId="67BA8E2F">
            <w:pPr>
              <w:rPr>
                <w:rFonts w:ascii="宋体" w:hAnsi="宋体"/>
                <w:szCs w:val="20"/>
              </w:rPr>
            </w:pPr>
            <w:r>
              <w:rPr>
                <w:rFonts w:hint="eastAsia" w:ascii="宋体" w:hAnsi="宋体"/>
                <w:szCs w:val="20"/>
              </w:rPr>
              <w:t>云硬盘数据可用性不低于99.95%，数据持久性不低于99.9999999%；</w:t>
            </w:r>
          </w:p>
          <w:p w14:paraId="5014F612">
            <w:pPr>
              <w:rPr>
                <w:rFonts w:ascii="宋体" w:hAnsi="宋体"/>
                <w:szCs w:val="20"/>
              </w:rPr>
            </w:pPr>
            <w:r>
              <w:rPr>
                <w:rFonts w:hint="eastAsia" w:ascii="宋体" w:hAnsi="宋体"/>
                <w:szCs w:val="20"/>
              </w:rPr>
              <w:t>支持云主机I/O悬挂，当云主机使用的存储出现短时间闪断时，支持悬挂云主机当前I/O直到存储恢复，保证云主机业务不受影响。支持通过云主机备份副本进行源机恢复时，选择指定盘进行恢复操作；</w:t>
            </w:r>
          </w:p>
          <w:p w14:paraId="537B19C6">
            <w:pPr>
              <w:rPr>
                <w:rFonts w:ascii="宋体" w:hAnsi="宋体"/>
                <w:color w:val="FF0000"/>
                <w:szCs w:val="20"/>
                <w:highlight w:val="yellow"/>
              </w:rPr>
            </w:pPr>
            <w:r>
              <w:rPr>
                <w:rFonts w:hint="eastAsia" w:ascii="宋体" w:hAnsi="宋体"/>
                <w:szCs w:val="20"/>
              </w:rPr>
              <w:t>支持创建私有镜像，可通过云主机、镜像文件、云主机快照等镜像源创建私有镜像，私有镜像类</w:t>
            </w:r>
            <w:r>
              <w:rPr>
                <w:rFonts w:hint="eastAsia" w:ascii="宋体" w:hAnsi="宋体"/>
                <w:color w:val="FF0000"/>
                <w:szCs w:val="20"/>
                <w:highlight w:val="yellow"/>
              </w:rPr>
              <w:t>型包括：系统盘镜像、数据盘镜像、ISO镜像等。</w:t>
            </w:r>
          </w:p>
          <w:p w14:paraId="1115AFCD">
            <w:pPr>
              <w:rPr>
                <w:rFonts w:ascii="宋体" w:hAnsi="宋体"/>
                <w:szCs w:val="20"/>
              </w:rPr>
            </w:pPr>
            <w:r>
              <w:rPr>
                <w:rFonts w:hint="eastAsia" w:ascii="宋体" w:hAnsi="宋体"/>
                <w:color w:val="FF0000"/>
                <w:szCs w:val="20"/>
                <w:highlight w:val="yellow"/>
              </w:rPr>
              <w:t>云平台应支持vxlan的Overlay隧道隔离技术，</w:t>
            </w:r>
            <w:r>
              <w:rPr>
                <w:rFonts w:hint="eastAsia" w:ascii="宋体" w:hAnsi="宋体"/>
                <w:szCs w:val="20"/>
              </w:rPr>
              <w:t>通过流表方式实现vRouter能力，VPC内东西向流量可在宿主机之间直接转发，不经过网关；</w:t>
            </w:r>
          </w:p>
          <w:p w14:paraId="55509135">
            <w:pPr>
              <w:rPr>
                <w:rFonts w:ascii="宋体" w:hAnsi="宋体"/>
                <w:szCs w:val="20"/>
              </w:rPr>
            </w:pPr>
            <w:r>
              <w:rPr>
                <w:rFonts w:hint="eastAsia" w:ascii="宋体" w:hAnsi="宋体"/>
                <w:szCs w:val="20"/>
              </w:rPr>
              <w:t>云网络支持SDN网络架构，提供不同的网络服务：包括虚拟私有云VPC、弹性IP、共享带宽、NAT网关、负载均衡等；</w:t>
            </w:r>
          </w:p>
          <w:p w14:paraId="3AA0B2BF">
            <w:pPr>
              <w:rPr>
                <w:rFonts w:ascii="宋体" w:hAnsi="宋体"/>
                <w:szCs w:val="20"/>
              </w:rPr>
            </w:pPr>
            <w:r>
              <w:rPr>
                <w:rFonts w:hint="eastAsia" w:ascii="宋体" w:hAnsi="宋体"/>
                <w:szCs w:val="20"/>
              </w:rPr>
              <w:t>VPC、弹性IP等均支持IPv4/IPv6双栈能力；（需提供截图证明）</w:t>
            </w:r>
          </w:p>
          <w:p w14:paraId="15B87179">
            <w:pPr>
              <w:rPr>
                <w:rFonts w:ascii="宋体" w:hAnsi="宋体"/>
                <w:color w:val="FF0000"/>
                <w:szCs w:val="20"/>
                <w:highlight w:val="yellow"/>
              </w:rPr>
            </w:pPr>
            <w:r>
              <w:rPr>
                <w:rFonts w:hint="eastAsia" w:ascii="宋体" w:hAnsi="宋体"/>
                <w:color w:val="FF0000"/>
                <w:szCs w:val="20"/>
                <w:highlight w:val="yellow"/>
              </w:rPr>
              <w:t>安全组支持安全组模板；</w:t>
            </w:r>
          </w:p>
          <w:p w14:paraId="182D482B">
            <w:pPr>
              <w:rPr>
                <w:rFonts w:ascii="宋体" w:hAnsi="宋体"/>
                <w:color w:val="FF0000"/>
                <w:szCs w:val="20"/>
                <w:highlight w:val="yellow"/>
              </w:rPr>
            </w:pPr>
            <w:r>
              <w:rPr>
                <w:rFonts w:hint="eastAsia" w:ascii="宋体" w:hAnsi="宋体"/>
                <w:color w:val="FF0000"/>
                <w:szCs w:val="20"/>
                <w:highlight w:val="yellow"/>
              </w:rPr>
              <w:t>支持设置子网网关地址、DNS服务器地址、DHCP地址；</w:t>
            </w:r>
          </w:p>
          <w:p w14:paraId="038FDBC3">
            <w:pPr>
              <w:rPr>
                <w:rFonts w:ascii="宋体" w:hAnsi="宋体"/>
                <w:szCs w:val="20"/>
              </w:rPr>
            </w:pPr>
            <w:r>
              <w:rPr>
                <w:rFonts w:hint="eastAsia" w:ascii="宋体" w:hAnsi="宋体"/>
                <w:szCs w:val="20"/>
              </w:rPr>
              <w:t>负载均衡支持后端添加裸金属主机（需提供截图证明）</w:t>
            </w:r>
          </w:p>
          <w:p w14:paraId="3F9853A2">
            <w:pPr>
              <w:rPr>
                <w:rFonts w:ascii="宋体" w:hAnsi="宋体"/>
                <w:color w:val="FF0000"/>
                <w:szCs w:val="20"/>
                <w:highlight w:val="yellow"/>
              </w:rPr>
            </w:pPr>
            <w:r>
              <w:rPr>
                <w:rFonts w:hint="eastAsia" w:ascii="宋体" w:hAnsi="宋体"/>
                <w:szCs w:val="20"/>
              </w:rPr>
              <w:t>支持单栈IPv6子网，云主机、裸金属间使用单</w:t>
            </w:r>
            <w:r>
              <w:rPr>
                <w:rFonts w:hint="eastAsia" w:ascii="宋体" w:hAnsi="宋体"/>
                <w:color w:val="FF0000"/>
                <w:szCs w:val="20"/>
                <w:highlight w:val="yellow"/>
              </w:rPr>
              <w:t>栈IPV6协议进行IPV6互访；</w:t>
            </w:r>
          </w:p>
          <w:p w14:paraId="7266785F">
            <w:pPr>
              <w:rPr>
                <w:rFonts w:ascii="宋体" w:hAnsi="宋体"/>
                <w:szCs w:val="20"/>
              </w:rPr>
            </w:pPr>
            <w:r>
              <w:rPr>
                <w:rFonts w:hint="eastAsia" w:ascii="宋体" w:hAnsi="宋体"/>
                <w:color w:val="FF0000"/>
                <w:szCs w:val="20"/>
                <w:highlight w:val="yellow"/>
              </w:rPr>
              <w:t>支持设置子网网关地址、DNS服务器地址、DHCP</w:t>
            </w:r>
            <w:r>
              <w:rPr>
                <w:rFonts w:hint="eastAsia" w:ascii="宋体" w:hAnsi="宋体"/>
                <w:szCs w:val="20"/>
              </w:rPr>
              <w:t>地址；</w:t>
            </w:r>
          </w:p>
          <w:p w14:paraId="1445EFA1">
            <w:pPr>
              <w:rPr>
                <w:rFonts w:ascii="宋体" w:hAnsi="宋体"/>
                <w:color w:val="FF0000"/>
                <w:szCs w:val="20"/>
                <w:highlight w:val="yellow"/>
              </w:rPr>
            </w:pPr>
            <w:r>
              <w:rPr>
                <w:rFonts w:hint="eastAsia" w:ascii="宋体" w:hAnsi="宋体"/>
                <w:szCs w:val="20"/>
              </w:rPr>
              <w:t>负载均衡支持后端添加裸金属主机（需提供截图</w:t>
            </w:r>
            <w:r>
              <w:rPr>
                <w:rFonts w:hint="eastAsia" w:ascii="宋体" w:hAnsi="宋体"/>
                <w:color w:val="FF0000"/>
                <w:szCs w:val="20"/>
                <w:highlight w:val="yellow"/>
              </w:rPr>
              <w:t>证明）</w:t>
            </w:r>
          </w:p>
          <w:p w14:paraId="7E3123BF">
            <w:pPr>
              <w:rPr>
                <w:rFonts w:ascii="宋体" w:hAnsi="宋体"/>
                <w:color w:val="FF0000"/>
                <w:szCs w:val="20"/>
                <w:highlight w:val="yellow"/>
              </w:rPr>
            </w:pPr>
            <w:r>
              <w:rPr>
                <w:rFonts w:hint="eastAsia" w:ascii="宋体" w:hAnsi="宋体"/>
                <w:color w:val="FF0000"/>
                <w:szCs w:val="20"/>
                <w:highlight w:val="yellow"/>
              </w:rPr>
              <w:t>云资源管理平台</w:t>
            </w:r>
          </w:p>
          <w:p w14:paraId="0B364C51">
            <w:pPr>
              <w:rPr>
                <w:rFonts w:ascii="宋体" w:hAnsi="宋体"/>
                <w:szCs w:val="20"/>
              </w:rPr>
            </w:pPr>
            <w:r>
              <w:rPr>
                <w:rFonts w:hint="eastAsia" w:ascii="宋体" w:hAnsi="宋体"/>
                <w:szCs w:val="20"/>
              </w:rPr>
              <w:t>云管平台提供实时的监控告警可视化能力，用户可查看资源使用情况，包括资源总览、用量统计、宿主机/裸金属服务器各项性能指标实时监控、云环境告警排名以及告警详情；（需提供截图证明）</w:t>
            </w:r>
          </w:p>
          <w:p w14:paraId="29E6BB37">
            <w:pPr>
              <w:rPr>
                <w:rFonts w:ascii="宋体" w:hAnsi="宋体"/>
                <w:color w:val="FF0000"/>
                <w:szCs w:val="20"/>
                <w:highlight w:val="yellow"/>
              </w:rPr>
            </w:pPr>
            <w:r>
              <w:rPr>
                <w:rFonts w:hint="eastAsia" w:ascii="宋体" w:hAnsi="宋体"/>
                <w:szCs w:val="20"/>
              </w:rPr>
              <w:t>云管平台支持短信登陆、账号密码登录、多因子登录功能，支持通过邮箱/手机验证，找回并重置密码，支持平台账号和子账号登录，采用密码</w:t>
            </w:r>
            <w:r>
              <w:rPr>
                <w:rFonts w:hint="eastAsia" w:ascii="宋体" w:hAnsi="宋体"/>
                <w:color w:val="FF0000"/>
                <w:szCs w:val="20"/>
                <w:highlight w:val="yellow"/>
              </w:rPr>
              <w:t>+验证码的双重登录校验；</w:t>
            </w:r>
          </w:p>
          <w:p w14:paraId="28C474FA">
            <w:pPr>
              <w:rPr>
                <w:rFonts w:ascii="宋体" w:hAnsi="宋体"/>
                <w:color w:val="FF0000"/>
                <w:szCs w:val="20"/>
                <w:highlight w:val="yellow"/>
              </w:rPr>
            </w:pPr>
            <w:r>
              <w:rPr>
                <w:rFonts w:hint="eastAsia" w:ascii="宋体" w:hAnsi="宋体"/>
                <w:color w:val="FF0000"/>
                <w:szCs w:val="20"/>
                <w:highlight w:val="yellow"/>
              </w:rPr>
              <w:t>IAAS资源统一开通和管理，统一用户权限、计量计费、运维监控告警管理。</w:t>
            </w:r>
          </w:p>
          <w:p w14:paraId="25A5479A">
            <w:pPr>
              <w:rPr>
                <w:rFonts w:ascii="宋体" w:hAnsi="宋体"/>
                <w:szCs w:val="20"/>
              </w:rPr>
            </w:pPr>
            <w:r>
              <w:rPr>
                <w:rFonts w:hint="eastAsia" w:ascii="宋体" w:hAnsi="宋体"/>
                <w:color w:val="FF0000"/>
                <w:szCs w:val="20"/>
                <w:highlight w:val="yellow"/>
              </w:rPr>
              <w:t>提供云资源池截至投标当天有效的等保2.0测</w:t>
            </w:r>
            <w:r>
              <w:rPr>
                <w:rFonts w:hint="eastAsia" w:ascii="宋体" w:hAnsi="宋体"/>
                <w:szCs w:val="20"/>
              </w:rPr>
              <w:t>评三级及以上合格证书；（需提供截图证明）</w:t>
            </w:r>
          </w:p>
          <w:p w14:paraId="2591CC18">
            <w:pPr>
              <w:rPr>
                <w:rFonts w:ascii="宋体" w:hAnsi="宋体"/>
                <w:szCs w:val="20"/>
              </w:rPr>
            </w:pPr>
            <w:r>
              <w:rPr>
                <w:rFonts w:hint="eastAsia" w:ascii="宋体" w:hAnsi="宋体"/>
                <w:szCs w:val="20"/>
              </w:rPr>
              <w:t>云下一代防火墙服务</w:t>
            </w:r>
          </w:p>
          <w:p w14:paraId="20926B1F">
            <w:pPr>
              <w:rPr>
                <w:rFonts w:ascii="宋体" w:hAnsi="宋体"/>
                <w:color w:val="FF0000"/>
                <w:szCs w:val="20"/>
                <w:highlight w:val="yellow"/>
              </w:rPr>
            </w:pPr>
            <w:r>
              <w:rPr>
                <w:rFonts w:ascii="宋体" w:hAnsi="宋体"/>
                <w:szCs w:val="20"/>
              </w:rPr>
              <w:t>云安全管理平台支持提供智慧防火墙服务，用户支持选择云智慧防火墙的规格、授权、使用时长，</w:t>
            </w:r>
            <w:r>
              <w:rPr>
                <w:rFonts w:ascii="宋体" w:hAnsi="宋体"/>
                <w:color w:val="FF0000"/>
                <w:szCs w:val="20"/>
                <w:highlight w:val="yellow"/>
              </w:rPr>
              <w:t>以及所属的区域、集群和网络；</w:t>
            </w:r>
          </w:p>
          <w:p w14:paraId="7A313073">
            <w:pPr>
              <w:rPr>
                <w:rFonts w:ascii="宋体" w:hAnsi="宋体"/>
                <w:color w:val="FF0000"/>
                <w:szCs w:val="20"/>
                <w:highlight w:val="yellow"/>
              </w:rPr>
            </w:pPr>
            <w:r>
              <w:rPr>
                <w:rFonts w:hint="eastAsia" w:ascii="宋体" w:hAnsi="宋体"/>
                <w:color w:val="FF0000"/>
                <w:szCs w:val="20"/>
                <w:highlight w:val="yellow"/>
              </w:rPr>
              <w:t>Web应用防火墙服务</w:t>
            </w:r>
          </w:p>
          <w:p w14:paraId="5297C6F0">
            <w:pPr>
              <w:rPr>
                <w:rFonts w:ascii="宋体" w:hAnsi="宋体"/>
                <w:color w:val="FF0000"/>
                <w:szCs w:val="20"/>
                <w:highlight w:val="yellow"/>
              </w:rPr>
            </w:pPr>
            <w:r>
              <w:rPr>
                <w:rFonts w:hint="eastAsia" w:ascii="宋体" w:hAnsi="宋体"/>
                <w:szCs w:val="20"/>
              </w:rPr>
              <w:t>WAF服务支持移动端对资产的一键断网功能，提</w:t>
            </w:r>
            <w:r>
              <w:rPr>
                <w:rFonts w:hint="eastAsia" w:ascii="宋体" w:hAnsi="宋体"/>
                <w:color w:val="FF0000"/>
                <w:szCs w:val="20"/>
                <w:highlight w:val="yellow"/>
              </w:rPr>
              <w:t>供网站一键下线以及批量下线的应急措施；</w:t>
            </w:r>
          </w:p>
          <w:p w14:paraId="4CA27572">
            <w:pPr>
              <w:rPr>
                <w:rFonts w:ascii="宋体" w:hAnsi="宋体"/>
                <w:color w:val="FF0000"/>
                <w:szCs w:val="20"/>
                <w:highlight w:val="yellow"/>
              </w:rPr>
            </w:pPr>
            <w:r>
              <w:rPr>
                <w:rFonts w:hint="eastAsia" w:ascii="宋体" w:hAnsi="宋体"/>
                <w:color w:val="FF0000"/>
                <w:szCs w:val="20"/>
                <w:highlight w:val="yellow"/>
              </w:rPr>
              <w:t>日志审计服务</w:t>
            </w:r>
          </w:p>
          <w:p w14:paraId="15C63905">
            <w:pPr>
              <w:rPr>
                <w:rFonts w:ascii="宋体" w:hAnsi="宋体"/>
                <w:szCs w:val="20"/>
              </w:rPr>
            </w:pPr>
            <w:r>
              <w:rPr>
                <w:rFonts w:hint="eastAsia" w:ascii="宋体" w:hAnsi="宋体"/>
                <w:szCs w:val="20"/>
              </w:rPr>
              <w:t>日志审计服务支持市面主流安全设备、网络设备、中间件、服务器、数据库、操作系统等设备对象的日志数据采集。</w:t>
            </w:r>
          </w:p>
          <w:p w14:paraId="00CE7202">
            <w:pPr>
              <w:widowControl/>
              <w:jc w:val="left"/>
              <w:textAlignment w:val="center"/>
              <w:rPr>
                <w:rFonts w:hint="eastAsia" w:ascii="宋体" w:hAnsi="宋体"/>
                <w:szCs w:val="20"/>
              </w:rPr>
            </w:pPr>
          </w:p>
          <w:p w14:paraId="335D1859">
            <w:pPr>
              <w:rPr>
                <w:rFonts w:ascii="宋体" w:hAnsi="宋体"/>
                <w:color w:val="FF0000"/>
                <w:szCs w:val="20"/>
                <w:highlight w:val="yellow"/>
              </w:rPr>
            </w:pPr>
            <w:r>
              <w:rPr>
                <w:rFonts w:ascii="宋体" w:hAnsi="宋体"/>
                <w:szCs w:val="20"/>
              </w:rPr>
              <w:t>日志审计服务对单位内的设备类型、应用类型、协议类型等信息为基础，梳理出设备、应用、协</w:t>
            </w:r>
            <w:r>
              <w:rPr>
                <w:rFonts w:ascii="宋体" w:hAnsi="宋体"/>
                <w:color w:val="FF0000"/>
                <w:szCs w:val="20"/>
                <w:highlight w:val="yellow"/>
              </w:rPr>
              <w:t>议等之间的访问关系，实时树立访问关系；</w:t>
            </w:r>
          </w:p>
          <w:p w14:paraId="7C1AC3C6">
            <w:pPr>
              <w:rPr>
                <w:rFonts w:ascii="宋体" w:hAnsi="宋体"/>
                <w:color w:val="FF0000"/>
                <w:szCs w:val="20"/>
                <w:highlight w:val="yellow"/>
              </w:rPr>
            </w:pPr>
            <w:r>
              <w:rPr>
                <w:rFonts w:hint="eastAsia" w:ascii="宋体" w:hAnsi="宋体"/>
                <w:color w:val="FF0000"/>
                <w:szCs w:val="20"/>
                <w:highlight w:val="yellow"/>
              </w:rPr>
              <w:t>堡垒机服务</w:t>
            </w:r>
          </w:p>
          <w:p w14:paraId="6B5A40FF">
            <w:pPr>
              <w:rPr>
                <w:rFonts w:ascii="宋体" w:hAnsi="宋体"/>
                <w:szCs w:val="20"/>
              </w:rPr>
            </w:pPr>
            <w:r>
              <w:rPr>
                <w:rFonts w:hint="eastAsia" w:ascii="宋体" w:hAnsi="宋体"/>
                <w:szCs w:val="20"/>
              </w:rPr>
              <w:t>堡垒机服务可根据部门、用户、用户组、资源账户、账户组、双人授权、动态令牌、有效期、文件管理控制、文件传输控制（上传、下载）、上行剪切板、下行剪切板、水印、OCR识别、磁盘映射、RDP剪切板控制、键盘审计控制、时间限制（允许登陆、禁止登陆）、IP限制（黑白名单）为条件，细粒度地进行访问控制。</w:t>
            </w:r>
          </w:p>
          <w:p w14:paraId="018A14A5">
            <w:pPr>
              <w:widowControl/>
              <w:jc w:val="left"/>
              <w:textAlignment w:val="center"/>
              <w:rPr>
                <w:rFonts w:hint="eastAsia" w:ascii="宋体" w:hAnsi="宋体"/>
                <w:szCs w:val="20"/>
              </w:rPr>
            </w:pPr>
          </w:p>
          <w:p w14:paraId="1DE8A4C7">
            <w:pPr>
              <w:rPr>
                <w:rFonts w:ascii="宋体" w:hAnsi="宋体"/>
                <w:szCs w:val="20"/>
              </w:rPr>
            </w:pPr>
            <w:r>
              <w:rPr>
                <w:rFonts w:hint="eastAsia" w:ascii="宋体" w:hAnsi="宋体"/>
                <w:szCs w:val="20"/>
              </w:rPr>
              <w:t>堡垒机服务支持认证方式组合使用，例如使用AD域+手机短信、AD域+Radius认证、Radius认证+手机令牌等多种组合方式登录，支持按用户访问的源IP地址进行不同的认证方式</w:t>
            </w:r>
          </w:p>
          <w:p w14:paraId="13C604DC">
            <w:pPr>
              <w:widowControl/>
              <w:jc w:val="left"/>
              <w:textAlignment w:val="center"/>
              <w:rPr>
                <w:rFonts w:hint="eastAsia" w:ascii="宋体" w:hAnsi="宋体"/>
                <w:szCs w:val="20"/>
              </w:rPr>
            </w:pPr>
          </w:p>
          <w:p w14:paraId="4C17E999">
            <w:pPr>
              <w:rPr>
                <w:rFonts w:ascii="宋体" w:hAnsi="宋体"/>
                <w:szCs w:val="20"/>
              </w:rPr>
            </w:pPr>
            <w:r>
              <w:rPr>
                <w:rFonts w:hint="eastAsia" w:ascii="宋体" w:hAnsi="宋体"/>
                <w:szCs w:val="20"/>
              </w:rPr>
              <w:t>漏洞扫描</w:t>
            </w:r>
          </w:p>
          <w:p w14:paraId="3C36E8D3">
            <w:pPr>
              <w:rPr>
                <w:rFonts w:ascii="宋体" w:hAnsi="宋体"/>
                <w:szCs w:val="20"/>
              </w:rPr>
            </w:pPr>
            <w:r>
              <w:rPr>
                <w:rFonts w:hint="eastAsia" w:ascii="宋体" w:hAnsi="宋体"/>
                <w:szCs w:val="20"/>
              </w:rPr>
              <w:t>漏洞扫描产品集成系统扫描、WEB扫描、口令猜解、存活探测于一体，无需单独选配；</w:t>
            </w:r>
          </w:p>
          <w:p w14:paraId="337E8CB4">
            <w:pPr>
              <w:widowControl/>
              <w:jc w:val="left"/>
              <w:textAlignment w:val="center"/>
              <w:rPr>
                <w:rFonts w:ascii="宋体" w:hAnsi="宋体"/>
                <w:szCs w:val="20"/>
              </w:rPr>
            </w:pPr>
            <w:r>
              <w:rPr>
                <w:rFonts w:hint="eastAsia" w:ascii="宋体" w:hAnsi="宋体"/>
                <w:szCs w:val="20"/>
              </w:rPr>
              <w:t>支持340000条以上系统漏洞库，并按照漏洞类别及漏洞威胁程度进行分类；</w:t>
            </w:r>
            <w:r>
              <w:rPr>
                <w:rFonts w:ascii="宋体" w:hAnsi="宋体"/>
                <w:szCs w:val="20"/>
              </w:rPr>
              <w:t>（需提供截图证明）</w:t>
            </w:r>
          </w:p>
          <w:p w14:paraId="3633D865"/>
          <w:p w14:paraId="4585D5ED">
            <w:pPr>
              <w:rPr>
                <w:rFonts w:ascii="宋体" w:hAnsi="宋体"/>
                <w:szCs w:val="20"/>
              </w:rPr>
            </w:pPr>
          </w:p>
        </w:tc>
        <w:tc>
          <w:tcPr>
            <w:tcW w:w="922" w:type="dxa"/>
            <w:vAlign w:val="center"/>
          </w:tcPr>
          <w:p w14:paraId="3740F954">
            <w:pPr>
              <w:widowControl/>
              <w:spacing w:line="240" w:lineRule="auto"/>
              <w:jc w:val="center"/>
              <w:rPr>
                <w:rFonts w:ascii="宋体" w:hAnsi="宋体"/>
                <w:szCs w:val="20"/>
              </w:rPr>
            </w:pPr>
            <w:r>
              <w:rPr>
                <w:rFonts w:hint="eastAsia" w:ascii="宋体" w:hAnsi="宋体"/>
                <w:szCs w:val="20"/>
              </w:rPr>
              <w:t>3</w:t>
            </w:r>
          </w:p>
        </w:tc>
        <w:tc>
          <w:tcPr>
            <w:tcW w:w="820" w:type="dxa"/>
            <w:vAlign w:val="center"/>
          </w:tcPr>
          <w:p w14:paraId="1AA192A6">
            <w:pPr>
              <w:widowControl/>
              <w:spacing w:line="240" w:lineRule="auto"/>
              <w:jc w:val="center"/>
              <w:rPr>
                <w:rFonts w:ascii="宋体" w:hAnsi="宋体"/>
                <w:szCs w:val="20"/>
              </w:rPr>
            </w:pPr>
            <w:r>
              <w:rPr>
                <w:rFonts w:hint="eastAsia" w:ascii="宋体" w:hAnsi="宋体"/>
                <w:szCs w:val="20"/>
              </w:rPr>
              <w:t>年</w:t>
            </w:r>
          </w:p>
        </w:tc>
      </w:tr>
      <w:tr w14:paraId="24F64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0D640521">
            <w:pPr>
              <w:pStyle w:val="70"/>
              <w:widowControl/>
              <w:numPr>
                <w:ilvl w:val="0"/>
                <w:numId w:val="56"/>
              </w:numPr>
              <w:spacing w:line="240" w:lineRule="auto"/>
              <w:ind w:firstLineChars="0"/>
              <w:rPr>
                <w:szCs w:val="20"/>
              </w:rPr>
            </w:pPr>
          </w:p>
        </w:tc>
        <w:tc>
          <w:tcPr>
            <w:tcW w:w="1190" w:type="dxa"/>
            <w:vAlign w:val="center"/>
          </w:tcPr>
          <w:p w14:paraId="406EF263">
            <w:pPr>
              <w:widowControl/>
              <w:spacing w:line="240" w:lineRule="auto"/>
              <w:jc w:val="center"/>
              <w:rPr>
                <w:rFonts w:ascii="宋体" w:hAnsi="宋体"/>
                <w:szCs w:val="20"/>
              </w:rPr>
            </w:pPr>
            <w:r>
              <w:rPr>
                <w:rFonts w:hint="eastAsia" w:ascii="宋体" w:hAnsi="宋体"/>
                <w:szCs w:val="20"/>
              </w:rPr>
              <w:t>带宽服务</w:t>
            </w:r>
          </w:p>
        </w:tc>
        <w:tc>
          <w:tcPr>
            <w:tcW w:w="5166" w:type="dxa"/>
            <w:vAlign w:val="center"/>
          </w:tcPr>
          <w:p w14:paraId="7571D22D">
            <w:pPr>
              <w:widowControl/>
              <w:jc w:val="center"/>
              <w:textAlignment w:val="center"/>
              <w:rPr>
                <w:rFonts w:ascii="宋体" w:hAnsi="宋体"/>
                <w:szCs w:val="20"/>
              </w:rPr>
            </w:pPr>
            <w:r>
              <w:rPr>
                <w:rFonts w:hint="eastAsia" w:ascii="宋体" w:hAnsi="宋体"/>
                <w:szCs w:val="20"/>
              </w:rPr>
              <w:t>带宽包括2条1000M的医院专线及23条100M卫生院专线</w:t>
            </w:r>
          </w:p>
        </w:tc>
        <w:tc>
          <w:tcPr>
            <w:tcW w:w="922" w:type="dxa"/>
            <w:vAlign w:val="center"/>
          </w:tcPr>
          <w:p w14:paraId="453EBC67">
            <w:pPr>
              <w:widowControl/>
              <w:spacing w:line="240" w:lineRule="auto"/>
              <w:jc w:val="center"/>
              <w:rPr>
                <w:rFonts w:ascii="宋体" w:hAnsi="宋体"/>
                <w:szCs w:val="20"/>
              </w:rPr>
            </w:pPr>
            <w:r>
              <w:rPr>
                <w:rFonts w:hint="eastAsia" w:ascii="宋体" w:hAnsi="宋体"/>
                <w:szCs w:val="20"/>
              </w:rPr>
              <w:t>3</w:t>
            </w:r>
          </w:p>
        </w:tc>
        <w:tc>
          <w:tcPr>
            <w:tcW w:w="820" w:type="dxa"/>
            <w:vAlign w:val="center"/>
          </w:tcPr>
          <w:p w14:paraId="30AD3AC0">
            <w:pPr>
              <w:widowControl/>
              <w:spacing w:line="240" w:lineRule="auto"/>
              <w:jc w:val="center"/>
              <w:rPr>
                <w:rFonts w:ascii="宋体" w:hAnsi="宋体"/>
                <w:szCs w:val="20"/>
              </w:rPr>
            </w:pPr>
            <w:r>
              <w:rPr>
                <w:rFonts w:hint="eastAsia" w:ascii="宋体" w:hAnsi="宋体"/>
                <w:szCs w:val="20"/>
              </w:rPr>
              <w:t>年</w:t>
            </w:r>
          </w:p>
        </w:tc>
      </w:tr>
    </w:tbl>
    <w:p w14:paraId="29E41719">
      <w:pPr>
        <w:pStyle w:val="2"/>
        <w:bidi w:val="0"/>
      </w:pPr>
      <w:r>
        <w:rPr>
          <w:rFonts w:hint="eastAsia"/>
        </w:rPr>
        <w:t>交换机房建设清单</w:t>
      </w:r>
    </w:p>
    <w:p w14:paraId="45F1B1C8">
      <w:pPr>
        <w:rPr>
          <w:rFonts w:ascii="宋体" w:hAnsi="宋体"/>
          <w:szCs w:val="20"/>
        </w:rPr>
      </w:pPr>
    </w:p>
    <w:tbl>
      <w:tblPr>
        <w:tblStyle w:val="43"/>
        <w:tblpPr w:leftFromText="180" w:rightFromText="180" w:vertAnchor="text" w:horzAnchor="page" w:tblpX="1594"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2"/>
        <w:gridCol w:w="1989"/>
        <w:gridCol w:w="4367"/>
        <w:gridCol w:w="922"/>
        <w:gridCol w:w="820"/>
      </w:tblGrid>
      <w:tr w14:paraId="4D3CB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9060" w:type="dxa"/>
            <w:gridSpan w:val="5"/>
            <w:vAlign w:val="center"/>
          </w:tcPr>
          <w:p w14:paraId="16ABBCB7">
            <w:pPr>
              <w:widowControl/>
              <w:spacing w:line="240" w:lineRule="auto"/>
              <w:jc w:val="center"/>
              <w:rPr>
                <w:rFonts w:ascii="宋体" w:hAnsi="宋体"/>
                <w:szCs w:val="20"/>
              </w:rPr>
            </w:pPr>
            <w:r>
              <w:rPr>
                <w:rFonts w:hint="eastAsia" w:ascii="宋体" w:hAnsi="宋体"/>
                <w:szCs w:val="20"/>
              </w:rPr>
              <w:t>交换机房建设清单</w:t>
            </w:r>
          </w:p>
        </w:tc>
      </w:tr>
      <w:tr w14:paraId="69EF6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11294116">
            <w:pPr>
              <w:pStyle w:val="70"/>
              <w:widowControl/>
              <w:spacing w:line="240" w:lineRule="auto"/>
              <w:ind w:firstLine="0" w:firstLineChars="0"/>
              <w:jc w:val="center"/>
              <w:rPr>
                <w:szCs w:val="20"/>
              </w:rPr>
            </w:pPr>
            <w:r>
              <w:rPr>
                <w:rFonts w:hint="eastAsia"/>
                <w:szCs w:val="20"/>
              </w:rPr>
              <w:t>序号</w:t>
            </w:r>
          </w:p>
        </w:tc>
        <w:tc>
          <w:tcPr>
            <w:tcW w:w="1989" w:type="dxa"/>
            <w:vAlign w:val="center"/>
          </w:tcPr>
          <w:p w14:paraId="3A8B9494">
            <w:pPr>
              <w:widowControl/>
              <w:spacing w:line="240" w:lineRule="auto"/>
              <w:jc w:val="center"/>
              <w:rPr>
                <w:rFonts w:ascii="宋体" w:hAnsi="宋体"/>
                <w:szCs w:val="20"/>
              </w:rPr>
            </w:pPr>
            <w:r>
              <w:rPr>
                <w:rFonts w:hint="eastAsia" w:ascii="宋体" w:hAnsi="宋体"/>
                <w:szCs w:val="20"/>
              </w:rPr>
              <w:t>设备名称</w:t>
            </w:r>
          </w:p>
        </w:tc>
        <w:tc>
          <w:tcPr>
            <w:tcW w:w="4367" w:type="dxa"/>
            <w:vAlign w:val="center"/>
          </w:tcPr>
          <w:p w14:paraId="12658FAF">
            <w:pPr>
              <w:widowControl/>
              <w:jc w:val="center"/>
              <w:textAlignment w:val="center"/>
              <w:rPr>
                <w:rFonts w:ascii="宋体" w:hAnsi="宋体"/>
                <w:szCs w:val="20"/>
              </w:rPr>
            </w:pPr>
            <w:r>
              <w:rPr>
                <w:rFonts w:hint="eastAsia" w:ascii="宋体" w:hAnsi="宋体"/>
                <w:szCs w:val="20"/>
              </w:rPr>
              <w:t>主要性能指标</w:t>
            </w:r>
          </w:p>
        </w:tc>
        <w:tc>
          <w:tcPr>
            <w:tcW w:w="922" w:type="dxa"/>
            <w:vAlign w:val="center"/>
          </w:tcPr>
          <w:p w14:paraId="016ABACD">
            <w:pPr>
              <w:widowControl/>
              <w:spacing w:line="240" w:lineRule="auto"/>
              <w:jc w:val="center"/>
              <w:rPr>
                <w:rFonts w:ascii="宋体" w:hAnsi="宋体"/>
                <w:szCs w:val="20"/>
              </w:rPr>
            </w:pPr>
            <w:r>
              <w:rPr>
                <w:rFonts w:hint="eastAsia" w:ascii="宋体" w:hAnsi="宋体"/>
                <w:szCs w:val="20"/>
              </w:rPr>
              <w:t>数量</w:t>
            </w:r>
          </w:p>
        </w:tc>
        <w:tc>
          <w:tcPr>
            <w:tcW w:w="820" w:type="dxa"/>
            <w:vAlign w:val="center"/>
          </w:tcPr>
          <w:p w14:paraId="17442442">
            <w:pPr>
              <w:widowControl/>
              <w:spacing w:line="240" w:lineRule="auto"/>
              <w:jc w:val="center"/>
              <w:rPr>
                <w:rFonts w:ascii="宋体" w:hAnsi="宋体"/>
                <w:szCs w:val="20"/>
              </w:rPr>
            </w:pPr>
            <w:r>
              <w:rPr>
                <w:rFonts w:hint="eastAsia" w:ascii="宋体" w:hAnsi="宋体"/>
                <w:szCs w:val="20"/>
              </w:rPr>
              <w:t>单位</w:t>
            </w:r>
          </w:p>
        </w:tc>
      </w:tr>
      <w:tr w14:paraId="4429D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3043DDD8">
            <w:pPr>
              <w:pStyle w:val="70"/>
              <w:widowControl/>
              <w:numPr>
                <w:ilvl w:val="0"/>
                <w:numId w:val="57"/>
              </w:numPr>
              <w:spacing w:line="240" w:lineRule="auto"/>
              <w:ind w:firstLineChars="0"/>
              <w:jc w:val="center"/>
              <w:rPr>
                <w:szCs w:val="20"/>
              </w:rPr>
            </w:pPr>
          </w:p>
        </w:tc>
        <w:tc>
          <w:tcPr>
            <w:tcW w:w="1989" w:type="dxa"/>
            <w:vAlign w:val="center"/>
          </w:tcPr>
          <w:p w14:paraId="0B086001">
            <w:pPr>
              <w:widowControl/>
              <w:jc w:val="center"/>
              <w:textAlignment w:val="center"/>
              <w:rPr>
                <w:rFonts w:ascii="宋体" w:hAnsi="宋体"/>
                <w:szCs w:val="20"/>
              </w:rPr>
            </w:pPr>
            <w:r>
              <w:rPr>
                <w:rFonts w:hint="eastAsia" w:ascii="宋体" w:hAnsi="宋体"/>
                <w:szCs w:val="20"/>
              </w:rPr>
              <w:t>模块化UPS系统柜</w:t>
            </w:r>
          </w:p>
        </w:tc>
        <w:tc>
          <w:tcPr>
            <w:tcW w:w="4367" w:type="dxa"/>
            <w:shd w:val="clear" w:color="auto" w:fill="auto"/>
            <w:vAlign w:val="center"/>
          </w:tcPr>
          <w:p w14:paraId="5AFF9670">
            <w:pPr>
              <w:widowControl/>
              <w:jc w:val="left"/>
              <w:textAlignment w:val="center"/>
              <w:rPr>
                <w:rFonts w:ascii="宋体" w:hAnsi="宋体"/>
                <w:szCs w:val="20"/>
              </w:rPr>
            </w:pPr>
            <w:r>
              <w:rPr>
                <w:rFonts w:hint="eastAsia" w:ascii="宋体" w:hAnsi="宋体"/>
                <w:szCs w:val="20"/>
              </w:rPr>
              <w:t>1.UPS需采用模块化设计，机框容量≥125kVA，可配置不少于5个功率模块，单功率模块容量≥25kVA。</w:t>
            </w:r>
          </w:p>
          <w:p w14:paraId="4A132BA0">
            <w:pPr>
              <w:widowControl/>
              <w:jc w:val="left"/>
              <w:textAlignment w:val="center"/>
              <w:rPr>
                <w:rFonts w:ascii="宋体" w:hAnsi="宋体"/>
                <w:szCs w:val="20"/>
              </w:rPr>
            </w:pPr>
            <w:r>
              <w:rPr>
                <w:rFonts w:hint="eastAsia" w:ascii="宋体" w:hAnsi="宋体"/>
                <w:szCs w:val="20"/>
              </w:rPr>
              <w:t>2.所有电路板均需要采用三防工艺，确保在低恶劣环境下的使用寿命。</w:t>
            </w:r>
          </w:p>
          <w:p w14:paraId="02499E7E">
            <w:pPr>
              <w:widowControl/>
              <w:jc w:val="left"/>
              <w:textAlignment w:val="center"/>
              <w:rPr>
                <w:rFonts w:ascii="宋体" w:hAnsi="宋体"/>
                <w:szCs w:val="20"/>
              </w:rPr>
            </w:pPr>
            <w:r>
              <w:rPr>
                <w:rFonts w:hint="eastAsia" w:ascii="宋体" w:hAnsi="宋体"/>
                <w:szCs w:val="20"/>
              </w:rPr>
              <w:t>3.UPS系统的功率模块应具有热插拔功能。功率模块的插拔装置与模块开关应具有连锁，保证功率模块在插拔时为关闭状态。</w:t>
            </w:r>
          </w:p>
          <w:p w14:paraId="61B54EA0">
            <w:pPr>
              <w:widowControl/>
              <w:jc w:val="left"/>
              <w:textAlignment w:val="center"/>
              <w:rPr>
                <w:rFonts w:ascii="宋体" w:hAnsi="宋体"/>
                <w:szCs w:val="20"/>
              </w:rPr>
            </w:pPr>
            <w:r>
              <w:rPr>
                <w:rFonts w:hint="eastAsia" w:ascii="宋体" w:hAnsi="宋体"/>
                <w:szCs w:val="20"/>
              </w:rPr>
              <w:t>4.UPS系统的功率模块重量不超过21kg，单个模块高度不超过2U。</w:t>
            </w:r>
          </w:p>
          <w:p w14:paraId="088D82E9">
            <w:pPr>
              <w:widowControl/>
              <w:jc w:val="left"/>
              <w:textAlignment w:val="center"/>
              <w:rPr>
                <w:rFonts w:ascii="宋体" w:hAnsi="宋体"/>
                <w:szCs w:val="20"/>
              </w:rPr>
            </w:pPr>
            <w:r>
              <w:rPr>
                <w:rFonts w:hint="eastAsia" w:ascii="宋体" w:hAnsi="宋体"/>
                <w:szCs w:val="20"/>
              </w:rPr>
              <w:t>5.为进一步节省配电系统占地面积并提高维护空间，要求单台UPS设备宽度不超过600mm，深度不超过850mm。</w:t>
            </w:r>
          </w:p>
          <w:p w14:paraId="0348E2CE">
            <w:pPr>
              <w:widowControl/>
              <w:jc w:val="left"/>
              <w:textAlignment w:val="center"/>
              <w:rPr>
                <w:rFonts w:ascii="宋体" w:hAnsi="宋体"/>
                <w:szCs w:val="20"/>
              </w:rPr>
            </w:pPr>
            <w:r>
              <w:rPr>
                <w:rFonts w:hint="eastAsia" w:ascii="宋体" w:hAnsi="宋体"/>
                <w:szCs w:val="20"/>
              </w:rPr>
              <w:t>6.UPS配置集中旁路，旁路模块应具有热插拔功能，当不断开输入交流电的情况下，对旁路监控模块进行拔出、插进、更换操作，不影响并机系统的正常工作。</w:t>
            </w:r>
          </w:p>
          <w:p w14:paraId="4742B744">
            <w:pPr>
              <w:widowControl/>
              <w:jc w:val="left"/>
              <w:textAlignment w:val="center"/>
              <w:rPr>
                <w:rFonts w:ascii="宋体" w:hAnsi="宋体"/>
                <w:szCs w:val="20"/>
              </w:rPr>
            </w:pPr>
            <w:r>
              <w:rPr>
                <w:rFonts w:hint="eastAsia" w:ascii="宋体" w:hAnsi="宋体"/>
                <w:szCs w:val="20"/>
              </w:rPr>
              <w:t>7.UPS的功率模块应具备插拔限位功能，避免功率模块插拔更换过程中用力不当造成损坏风险。</w:t>
            </w:r>
          </w:p>
          <w:p w14:paraId="70F74F21">
            <w:pPr>
              <w:widowControl/>
              <w:jc w:val="left"/>
              <w:textAlignment w:val="center"/>
              <w:rPr>
                <w:rFonts w:ascii="宋体" w:hAnsi="宋体"/>
                <w:szCs w:val="20"/>
              </w:rPr>
            </w:pPr>
            <w:r>
              <w:rPr>
                <w:rFonts w:hint="eastAsia" w:ascii="宋体" w:hAnsi="宋体"/>
                <w:szCs w:val="20"/>
              </w:rPr>
              <w:t>8.UPS系统运行中，故障功率模块、监控模块或旁路模块应自动退出运行，不影响系统其他部件的正常工作。</w:t>
            </w:r>
          </w:p>
          <w:p w14:paraId="30C5AA9D">
            <w:pPr>
              <w:widowControl/>
              <w:jc w:val="left"/>
              <w:textAlignment w:val="center"/>
              <w:rPr>
                <w:rFonts w:ascii="宋体" w:hAnsi="宋体"/>
                <w:szCs w:val="20"/>
              </w:rPr>
            </w:pPr>
            <w:r>
              <w:rPr>
                <w:rFonts w:hint="eastAsia" w:ascii="宋体" w:hAnsi="宋体"/>
                <w:szCs w:val="20"/>
              </w:rPr>
              <w:t>9.UPS机柜内需要集成独立主路输入空开、旁路输入空开、输出空开以及维修旁路空开，便于用户接线。</w:t>
            </w:r>
          </w:p>
          <w:p w14:paraId="74CFCC9D">
            <w:pPr>
              <w:widowControl/>
              <w:jc w:val="left"/>
              <w:textAlignment w:val="center"/>
              <w:rPr>
                <w:rFonts w:ascii="宋体" w:hAnsi="宋体"/>
                <w:szCs w:val="20"/>
              </w:rPr>
            </w:pPr>
            <w:r>
              <w:rPr>
                <w:rFonts w:hint="eastAsia" w:ascii="宋体" w:hAnsi="宋体"/>
                <w:szCs w:val="20"/>
              </w:rPr>
              <w:t>10.功率模块休眠及轮换功能：系统应具有功率模块休眠工作模式，并能手动或自动开启/关闭该模式，出厂设置为关闭。系统能根据实际负载的变化自动调整功率模块的休眠数量，同时系统应使功率模块自动周期性轮换工作，且周期可设置。功率模块自动轮换工作时，应遵循先开后关的原则。</w:t>
            </w:r>
          </w:p>
          <w:p w14:paraId="306748E7">
            <w:pPr>
              <w:widowControl/>
              <w:jc w:val="left"/>
              <w:textAlignment w:val="center"/>
              <w:rPr>
                <w:rFonts w:ascii="宋体" w:hAnsi="宋体"/>
                <w:szCs w:val="20"/>
              </w:rPr>
            </w:pPr>
            <w:r>
              <w:rPr>
                <w:rFonts w:hint="eastAsia" w:ascii="宋体" w:hAnsi="宋体"/>
                <w:szCs w:val="20"/>
              </w:rPr>
              <w:t>11.运行海拔高度可达到1500m；若超过1500m时应按GB/T 3859.2的规定降容使用。</w:t>
            </w:r>
          </w:p>
          <w:p w14:paraId="4672A77F">
            <w:pPr>
              <w:widowControl/>
              <w:jc w:val="left"/>
              <w:textAlignment w:val="center"/>
              <w:rPr>
                <w:rFonts w:ascii="宋体" w:hAnsi="宋体"/>
                <w:szCs w:val="20"/>
              </w:rPr>
            </w:pPr>
            <w:r>
              <w:rPr>
                <w:rFonts w:hint="eastAsia" w:ascii="宋体" w:hAnsi="宋体"/>
                <w:szCs w:val="20"/>
              </w:rPr>
              <w:t>12.UPS需配置紧急停机（EPO）干接点。</w:t>
            </w:r>
          </w:p>
          <w:p w14:paraId="7A03448F">
            <w:pPr>
              <w:widowControl/>
              <w:jc w:val="left"/>
              <w:textAlignment w:val="center"/>
              <w:rPr>
                <w:rFonts w:ascii="宋体" w:hAnsi="宋体"/>
                <w:szCs w:val="20"/>
              </w:rPr>
            </w:pPr>
            <w:r>
              <w:rPr>
                <w:rFonts w:hint="eastAsia" w:ascii="宋体" w:hAnsi="宋体"/>
                <w:szCs w:val="20"/>
              </w:rPr>
              <w:t>13.系统效率：为保证UPS产品的高效节能、绿色环保，UPS的整机系统效率在100%、50%额定阻性负载情况下均应＞96.5%，在30%额定阻性负载情况下</w:t>
            </w:r>
            <w:r>
              <w:rPr>
                <w:rFonts w:hint="eastAsia" w:ascii="宋体" w:hAnsi="宋体"/>
                <w:color w:val="FF0000"/>
                <w:szCs w:val="20"/>
                <w:highlight w:val="yellow"/>
              </w:rPr>
              <w:t>应＞96.0%。</w:t>
            </w:r>
          </w:p>
          <w:p w14:paraId="2E2D486A">
            <w:pPr>
              <w:widowControl/>
              <w:jc w:val="left"/>
              <w:textAlignment w:val="center"/>
              <w:rPr>
                <w:rFonts w:hint="eastAsia" w:ascii="宋体" w:hAnsi="宋体" w:eastAsia="宋体"/>
                <w:strike/>
                <w:dstrike w:val="0"/>
                <w:szCs w:val="20"/>
                <w:lang w:eastAsia="zh-CN"/>
              </w:rPr>
            </w:pPr>
            <w:r>
              <w:rPr>
                <w:rFonts w:hint="eastAsia" w:ascii="宋体" w:hAnsi="宋体"/>
                <w:szCs w:val="20"/>
              </w:rPr>
              <w:t>14.模块效率：UPS功率模块效率在100%额定阻性负载情况下应＞97.0%，在50%额定阻性负载情况下应</w:t>
            </w:r>
            <w:r>
              <w:rPr>
                <w:rFonts w:hint="eastAsia" w:ascii="宋体" w:hAnsi="宋体"/>
                <w:color w:val="FF0000"/>
                <w:szCs w:val="20"/>
                <w:highlight w:val="yellow"/>
              </w:rPr>
              <w:t>＞96.5%，在30%额定阻性负载情况下应＞96.0%。</w:t>
            </w:r>
          </w:p>
          <w:p w14:paraId="784C5632">
            <w:pPr>
              <w:widowControl/>
              <w:jc w:val="left"/>
              <w:textAlignment w:val="center"/>
              <w:rPr>
                <w:rFonts w:ascii="宋体" w:hAnsi="宋体"/>
                <w:szCs w:val="20"/>
              </w:rPr>
            </w:pPr>
            <w:r>
              <w:rPr>
                <w:rFonts w:hint="eastAsia" w:ascii="宋体" w:hAnsi="宋体"/>
                <w:szCs w:val="20"/>
              </w:rPr>
              <w:t>15.UPS具备ECO模式，在ECO经济模式下，UPS系统运行效率高达99%。</w:t>
            </w:r>
          </w:p>
          <w:p w14:paraId="7BD13743">
            <w:pPr>
              <w:widowControl/>
              <w:jc w:val="left"/>
              <w:textAlignment w:val="center"/>
              <w:rPr>
                <w:rFonts w:ascii="宋体" w:hAnsi="宋体"/>
                <w:szCs w:val="20"/>
              </w:rPr>
            </w:pPr>
            <w:r>
              <w:rPr>
                <w:rFonts w:hint="eastAsia" w:ascii="宋体" w:hAnsi="宋体"/>
                <w:szCs w:val="20"/>
              </w:rPr>
              <w:t>16.输入功率因数：UPS在100%非线性负载时应≥0.999，在30%、50%非线性负载时均</w:t>
            </w:r>
            <w:r>
              <w:rPr>
                <w:rFonts w:hint="eastAsia" w:ascii="宋体" w:hAnsi="宋体"/>
                <w:color w:val="FF0000"/>
                <w:szCs w:val="20"/>
                <w:highlight w:val="yellow"/>
              </w:rPr>
              <w:t>应＞0.995。</w:t>
            </w:r>
          </w:p>
          <w:p w14:paraId="636CD01D">
            <w:pPr>
              <w:widowControl/>
              <w:jc w:val="left"/>
              <w:textAlignment w:val="center"/>
              <w:rPr>
                <w:rFonts w:ascii="宋体" w:hAnsi="宋体"/>
                <w:szCs w:val="20"/>
              </w:rPr>
            </w:pPr>
            <w:r>
              <w:rPr>
                <w:rFonts w:hint="eastAsia" w:ascii="宋体" w:hAnsi="宋体"/>
                <w:szCs w:val="20"/>
              </w:rPr>
              <w:t>17.输入电流谐波成分：UPS在100%非线性负载时应＜1％，在50%非线性负载时应＜2.0％，在30%非线性负载时应＜2.5％。（需提供泰尔检测报告并加盖厂商公章）。</w:t>
            </w:r>
          </w:p>
          <w:p w14:paraId="05A1D7FC">
            <w:pPr>
              <w:widowControl/>
              <w:jc w:val="left"/>
              <w:textAlignment w:val="center"/>
              <w:rPr>
                <w:rFonts w:ascii="宋体" w:hAnsi="宋体"/>
                <w:szCs w:val="20"/>
              </w:rPr>
            </w:pPr>
            <w:r>
              <w:rPr>
                <w:rFonts w:hint="eastAsia" w:ascii="宋体" w:hAnsi="宋体"/>
                <w:szCs w:val="20"/>
              </w:rPr>
              <w:t>18.输入电压范围应不窄于285V-476V，输入频率范围应不窄于40Hz～70Hz。</w:t>
            </w:r>
          </w:p>
          <w:p w14:paraId="7E3A3447">
            <w:pPr>
              <w:widowControl/>
              <w:jc w:val="left"/>
              <w:textAlignment w:val="center"/>
              <w:rPr>
                <w:rFonts w:ascii="宋体" w:hAnsi="宋体"/>
                <w:szCs w:val="20"/>
              </w:rPr>
            </w:pPr>
            <w:r>
              <w:rPr>
                <w:rFonts w:hint="eastAsia" w:ascii="宋体" w:hAnsi="宋体"/>
                <w:szCs w:val="20"/>
              </w:rPr>
              <w:t>19.频率跟踪范围应满足于50Hz±2Hz，也可根据用户要求设定为50Hz±1Hz，频率跟踪速率应在0.5Hz/s～1Hz/s范围内。</w:t>
            </w:r>
          </w:p>
          <w:p w14:paraId="1848C14A">
            <w:pPr>
              <w:widowControl/>
              <w:jc w:val="left"/>
              <w:textAlignment w:val="center"/>
              <w:rPr>
                <w:rFonts w:ascii="宋体" w:hAnsi="宋体"/>
                <w:szCs w:val="20"/>
              </w:rPr>
            </w:pPr>
            <w:r>
              <w:rPr>
                <w:rFonts w:hint="eastAsia" w:ascii="宋体" w:hAnsi="宋体"/>
                <w:color w:val="FF0000"/>
                <w:szCs w:val="20"/>
                <w:highlight w:val="yellow"/>
              </w:rPr>
              <w:t>20.输出功率因数必须为1（1kVA=1kW），以便与负载完美匹配。</w:t>
            </w:r>
          </w:p>
        </w:tc>
        <w:tc>
          <w:tcPr>
            <w:tcW w:w="922" w:type="dxa"/>
            <w:vAlign w:val="center"/>
          </w:tcPr>
          <w:p w14:paraId="6384B739">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7B84A0E7">
            <w:pPr>
              <w:widowControl/>
              <w:jc w:val="center"/>
              <w:textAlignment w:val="center"/>
              <w:rPr>
                <w:rFonts w:ascii="宋体" w:hAnsi="宋体"/>
                <w:szCs w:val="20"/>
              </w:rPr>
            </w:pPr>
            <w:r>
              <w:rPr>
                <w:rFonts w:hint="eastAsia" w:ascii="宋体" w:hAnsi="宋体"/>
                <w:szCs w:val="20"/>
              </w:rPr>
              <w:t>台</w:t>
            </w:r>
          </w:p>
        </w:tc>
      </w:tr>
      <w:tr w14:paraId="6AA7A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61579C2B">
            <w:pPr>
              <w:pStyle w:val="70"/>
              <w:widowControl/>
              <w:numPr>
                <w:ilvl w:val="0"/>
                <w:numId w:val="57"/>
              </w:numPr>
              <w:spacing w:line="240" w:lineRule="auto"/>
              <w:ind w:firstLineChars="0"/>
              <w:jc w:val="center"/>
              <w:rPr>
                <w:szCs w:val="20"/>
              </w:rPr>
            </w:pPr>
          </w:p>
        </w:tc>
        <w:tc>
          <w:tcPr>
            <w:tcW w:w="1989" w:type="dxa"/>
            <w:vAlign w:val="center"/>
          </w:tcPr>
          <w:p w14:paraId="01421481">
            <w:pPr>
              <w:widowControl/>
              <w:jc w:val="center"/>
              <w:textAlignment w:val="center"/>
              <w:rPr>
                <w:rFonts w:ascii="宋体" w:hAnsi="宋体"/>
                <w:szCs w:val="20"/>
              </w:rPr>
            </w:pPr>
            <w:r>
              <w:rPr>
                <w:rFonts w:hint="eastAsia" w:ascii="宋体" w:hAnsi="宋体"/>
                <w:szCs w:val="20"/>
              </w:rPr>
              <w:t>功率模块</w:t>
            </w:r>
          </w:p>
        </w:tc>
        <w:tc>
          <w:tcPr>
            <w:tcW w:w="4367" w:type="dxa"/>
            <w:shd w:val="clear" w:color="auto" w:fill="auto"/>
            <w:vAlign w:val="center"/>
          </w:tcPr>
          <w:p w14:paraId="08FFFF92">
            <w:pPr>
              <w:widowControl/>
              <w:jc w:val="center"/>
              <w:textAlignment w:val="center"/>
              <w:rPr>
                <w:rFonts w:ascii="宋体" w:hAnsi="宋体"/>
                <w:szCs w:val="20"/>
              </w:rPr>
            </w:pPr>
            <w:r>
              <w:rPr>
                <w:rFonts w:hint="eastAsia" w:ascii="宋体" w:hAnsi="宋体"/>
                <w:szCs w:val="20"/>
              </w:rPr>
              <w:t>25kVA功率模块 3/3（PF=1）</w:t>
            </w:r>
          </w:p>
        </w:tc>
        <w:tc>
          <w:tcPr>
            <w:tcW w:w="922" w:type="dxa"/>
            <w:vAlign w:val="center"/>
          </w:tcPr>
          <w:p w14:paraId="19C0D97E">
            <w:pPr>
              <w:widowControl/>
              <w:jc w:val="center"/>
              <w:textAlignment w:val="center"/>
              <w:rPr>
                <w:rFonts w:ascii="宋体" w:hAnsi="宋体"/>
                <w:szCs w:val="20"/>
              </w:rPr>
            </w:pPr>
            <w:r>
              <w:rPr>
                <w:rFonts w:hint="eastAsia" w:ascii="宋体" w:hAnsi="宋体"/>
                <w:szCs w:val="20"/>
              </w:rPr>
              <w:t>2</w:t>
            </w:r>
          </w:p>
        </w:tc>
        <w:tc>
          <w:tcPr>
            <w:tcW w:w="820" w:type="dxa"/>
            <w:vAlign w:val="center"/>
          </w:tcPr>
          <w:p w14:paraId="5C79855A">
            <w:pPr>
              <w:widowControl/>
              <w:jc w:val="center"/>
              <w:textAlignment w:val="center"/>
              <w:rPr>
                <w:rFonts w:ascii="宋体" w:hAnsi="宋体"/>
                <w:szCs w:val="20"/>
              </w:rPr>
            </w:pPr>
            <w:r>
              <w:rPr>
                <w:rFonts w:hint="eastAsia" w:ascii="宋体" w:hAnsi="宋体"/>
                <w:szCs w:val="20"/>
              </w:rPr>
              <w:t>个</w:t>
            </w:r>
          </w:p>
        </w:tc>
      </w:tr>
      <w:tr w14:paraId="21263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3BE86BBA">
            <w:pPr>
              <w:pStyle w:val="70"/>
              <w:widowControl/>
              <w:numPr>
                <w:ilvl w:val="0"/>
                <w:numId w:val="57"/>
              </w:numPr>
              <w:spacing w:line="240" w:lineRule="auto"/>
              <w:ind w:firstLineChars="0"/>
              <w:jc w:val="center"/>
              <w:rPr>
                <w:szCs w:val="20"/>
              </w:rPr>
            </w:pPr>
          </w:p>
        </w:tc>
        <w:tc>
          <w:tcPr>
            <w:tcW w:w="1989" w:type="dxa"/>
            <w:vAlign w:val="center"/>
          </w:tcPr>
          <w:p w14:paraId="23AD1CA8">
            <w:pPr>
              <w:widowControl/>
              <w:jc w:val="center"/>
              <w:textAlignment w:val="center"/>
              <w:rPr>
                <w:rFonts w:hint="eastAsia" w:ascii="宋体" w:hAnsi="宋体" w:eastAsia="宋体"/>
                <w:szCs w:val="20"/>
                <w:lang w:eastAsia="zh-CN"/>
              </w:rPr>
            </w:pPr>
            <w:r>
              <w:rPr>
                <w:rFonts w:hint="eastAsia" w:ascii="宋体" w:hAnsi="宋体"/>
                <w:szCs w:val="20"/>
              </w:rPr>
              <w:t>蓄电池</w:t>
            </w:r>
          </w:p>
        </w:tc>
        <w:tc>
          <w:tcPr>
            <w:tcW w:w="4367" w:type="dxa"/>
            <w:shd w:val="clear" w:color="auto" w:fill="auto"/>
            <w:vAlign w:val="center"/>
          </w:tcPr>
          <w:p w14:paraId="445A470F">
            <w:pPr>
              <w:widowControl/>
              <w:numPr>
                <w:ilvl w:val="0"/>
                <w:numId w:val="58"/>
              </w:numPr>
              <w:jc w:val="left"/>
              <w:textAlignment w:val="center"/>
              <w:rPr>
                <w:rFonts w:ascii="宋体" w:hAnsi="宋体"/>
                <w:szCs w:val="20"/>
              </w:rPr>
            </w:pPr>
            <w:r>
              <w:rPr>
                <w:rFonts w:hint="eastAsia" w:ascii="宋体" w:hAnsi="宋体"/>
                <w:szCs w:val="20"/>
              </w:rPr>
              <w:t>蓄电池应由正极板、负极板、隔板、槽、盖、安全阀、回流条、端子、电解液等组成。蓄电池结构应保证在使用寿命期间，不得渗漏电解液。</w:t>
            </w:r>
          </w:p>
          <w:p w14:paraId="6508ABBE">
            <w:pPr>
              <w:widowControl/>
              <w:numPr>
                <w:ilvl w:val="0"/>
                <w:numId w:val="58"/>
              </w:numPr>
              <w:textAlignment w:val="center"/>
              <w:rPr>
                <w:rFonts w:ascii="宋体" w:hAnsi="宋体"/>
                <w:szCs w:val="20"/>
              </w:rPr>
            </w:pPr>
            <w:r>
              <w:rPr>
                <w:rFonts w:hint="eastAsia" w:ascii="宋体" w:hAnsi="宋体"/>
                <w:szCs w:val="20"/>
              </w:rPr>
              <w:t>蓄电池外壳采用耐热、耐腐、耐压、耐震动、耐变形的高性能ABS材料，蓄电池外观不得有变形、漏液、裂纹及污迹，标志应清晰。</w:t>
            </w:r>
          </w:p>
          <w:p w14:paraId="4F59F9C6">
            <w:pPr>
              <w:widowControl/>
              <w:numPr>
                <w:ilvl w:val="0"/>
                <w:numId w:val="58"/>
              </w:numPr>
              <w:textAlignment w:val="center"/>
              <w:rPr>
                <w:rFonts w:ascii="宋体" w:hAnsi="宋体"/>
                <w:szCs w:val="20"/>
              </w:rPr>
            </w:pPr>
            <w:r>
              <w:rPr>
                <w:rFonts w:hint="eastAsia" w:ascii="宋体" w:hAnsi="宋体"/>
                <w:szCs w:val="20"/>
              </w:rPr>
              <w:t>蓄电池正、负极端子有明显标志，便于连接。连接端子采用嵌入式下旋螺纹纯铜无镀层端子，以保证电池导电性能，同时确保无金属铅或铅合金外露。</w:t>
            </w:r>
          </w:p>
          <w:p w14:paraId="55EB0100">
            <w:pPr>
              <w:widowControl/>
              <w:numPr>
                <w:ilvl w:val="0"/>
                <w:numId w:val="58"/>
              </w:numPr>
              <w:jc w:val="center"/>
              <w:textAlignment w:val="center"/>
              <w:rPr>
                <w:rFonts w:ascii="宋体" w:hAnsi="宋体"/>
                <w:szCs w:val="20"/>
              </w:rPr>
            </w:pPr>
            <w:r>
              <w:rPr>
                <w:rFonts w:hint="eastAsia" w:ascii="宋体" w:hAnsi="宋体"/>
                <w:szCs w:val="20"/>
              </w:rPr>
              <w:t>外观尺寸要求：蓄电池最大外形尺寸小于等于以下参数：电池最大外形尺寸（长*宽*总高）：≤330*172*222mm。</w:t>
            </w:r>
          </w:p>
          <w:p w14:paraId="773C8FA2">
            <w:pPr>
              <w:widowControl/>
              <w:numPr>
                <w:ilvl w:val="0"/>
                <w:numId w:val="58"/>
              </w:numPr>
              <w:jc w:val="left"/>
              <w:textAlignment w:val="center"/>
              <w:rPr>
                <w:rFonts w:ascii="宋体" w:hAnsi="宋体"/>
                <w:szCs w:val="20"/>
              </w:rPr>
            </w:pPr>
            <w:r>
              <w:rPr>
                <w:rFonts w:hint="eastAsia" w:ascii="宋体" w:hAnsi="宋体"/>
                <w:szCs w:val="20"/>
              </w:rPr>
              <w:t>蓄电池阻燃性能应符合YD/T799-2010中第6.4条的要求，即：蓄电池壳、盖、连接条保护罩应满足FH-1（水平级）和FV-0（垂直级）的要求。</w:t>
            </w:r>
          </w:p>
          <w:p w14:paraId="3941EED2">
            <w:pPr>
              <w:widowControl/>
              <w:numPr>
                <w:ilvl w:val="0"/>
                <w:numId w:val="58"/>
              </w:numPr>
              <w:jc w:val="left"/>
              <w:textAlignment w:val="center"/>
              <w:rPr>
                <w:rFonts w:ascii="宋体" w:hAnsi="宋体"/>
                <w:szCs w:val="20"/>
              </w:rPr>
            </w:pPr>
            <w:r>
              <w:rPr>
                <w:rFonts w:hint="eastAsia" w:ascii="宋体" w:hAnsi="宋体"/>
                <w:szCs w:val="20"/>
              </w:rPr>
              <w:t>蓄电池应能承受50kPa的正压或负压而不破裂、不开胶，压力释放后壳体应无残余变形。</w:t>
            </w:r>
          </w:p>
          <w:p w14:paraId="264CE1F3">
            <w:pPr>
              <w:widowControl/>
              <w:numPr>
                <w:ilvl w:val="0"/>
                <w:numId w:val="58"/>
              </w:numPr>
              <w:jc w:val="left"/>
              <w:textAlignment w:val="center"/>
              <w:rPr>
                <w:rFonts w:ascii="宋体" w:hAnsi="宋体"/>
                <w:szCs w:val="20"/>
              </w:rPr>
            </w:pPr>
            <w:r>
              <w:rPr>
                <w:rFonts w:hint="eastAsia" w:ascii="宋体" w:hAnsi="宋体"/>
                <w:szCs w:val="20"/>
              </w:rPr>
              <w:t>蓄电池以30I10电流放电3min，极柱应不熔断，内部汇流排应不熔断，外观应不出现异常。</w:t>
            </w:r>
          </w:p>
          <w:p w14:paraId="5F8FCA6A">
            <w:pPr>
              <w:widowControl/>
              <w:numPr>
                <w:ilvl w:val="0"/>
                <w:numId w:val="58"/>
              </w:numPr>
              <w:jc w:val="left"/>
              <w:textAlignment w:val="center"/>
              <w:rPr>
                <w:rFonts w:ascii="宋体" w:hAnsi="宋体"/>
                <w:szCs w:val="20"/>
              </w:rPr>
            </w:pPr>
            <w:r>
              <w:rPr>
                <w:rFonts w:hint="eastAsia" w:ascii="宋体" w:hAnsi="宋体"/>
                <w:szCs w:val="20"/>
              </w:rPr>
              <w:t>蓄电池静置28天后容量保存率应＞98.8%。</w:t>
            </w:r>
          </w:p>
          <w:p w14:paraId="1FD31EEF">
            <w:pPr>
              <w:widowControl/>
              <w:numPr>
                <w:ilvl w:val="0"/>
                <w:numId w:val="58"/>
              </w:numPr>
              <w:jc w:val="both"/>
              <w:textAlignment w:val="center"/>
              <w:rPr>
                <w:rFonts w:ascii="宋体" w:hAnsi="宋体"/>
                <w:color w:val="FF0000"/>
                <w:szCs w:val="20"/>
                <w:highlight w:val="yellow"/>
              </w:rPr>
            </w:pPr>
            <w:r>
              <w:rPr>
                <w:rFonts w:hint="eastAsia" w:ascii="宋体" w:hAnsi="宋体"/>
                <w:color w:val="FF0000"/>
                <w:szCs w:val="20"/>
                <w:highlight w:val="yellow"/>
              </w:rPr>
              <w:t>蓄电池密封反应效率应＞98.5%。</w:t>
            </w:r>
          </w:p>
          <w:p w14:paraId="641D8015">
            <w:pPr>
              <w:widowControl/>
              <w:textAlignment w:val="center"/>
              <w:rPr>
                <w:rFonts w:ascii="宋体" w:hAnsi="宋体"/>
                <w:szCs w:val="20"/>
              </w:rPr>
            </w:pPr>
            <w:r>
              <w:rPr>
                <w:rFonts w:hint="eastAsia" w:ascii="宋体" w:hAnsi="宋体"/>
                <w:szCs w:val="20"/>
              </w:rPr>
              <w:t>10.蓄电池应具备防酸雾能力，正常浮充工作过程中应无酸雾逸出。</w:t>
            </w:r>
          </w:p>
          <w:p w14:paraId="51C40F44">
            <w:pPr>
              <w:widowControl/>
              <w:textAlignment w:val="center"/>
              <w:rPr>
                <w:rFonts w:ascii="宋体" w:hAnsi="宋体"/>
                <w:szCs w:val="20"/>
              </w:rPr>
            </w:pPr>
            <w:r>
              <w:rPr>
                <w:rFonts w:hint="eastAsia" w:ascii="宋体" w:hAnsi="宋体"/>
                <w:szCs w:val="20"/>
              </w:rPr>
              <w:t>11.蓄电池使用期间安全阀应能自动开启闭合，开阀压力应在20~25kPa范围内，闭阀压力应在10~20kPa范围内。</w:t>
            </w:r>
          </w:p>
        </w:tc>
        <w:tc>
          <w:tcPr>
            <w:tcW w:w="922" w:type="dxa"/>
            <w:vAlign w:val="center"/>
          </w:tcPr>
          <w:p w14:paraId="22B39EE0">
            <w:pPr>
              <w:widowControl/>
              <w:jc w:val="center"/>
              <w:textAlignment w:val="center"/>
              <w:rPr>
                <w:rFonts w:ascii="宋体" w:hAnsi="宋体"/>
                <w:szCs w:val="20"/>
              </w:rPr>
            </w:pPr>
            <w:r>
              <w:rPr>
                <w:rFonts w:hint="eastAsia" w:ascii="宋体" w:hAnsi="宋体"/>
                <w:szCs w:val="20"/>
              </w:rPr>
              <w:t>64</w:t>
            </w:r>
          </w:p>
        </w:tc>
        <w:tc>
          <w:tcPr>
            <w:tcW w:w="820" w:type="dxa"/>
            <w:vAlign w:val="center"/>
          </w:tcPr>
          <w:p w14:paraId="11128B71">
            <w:pPr>
              <w:widowControl/>
              <w:jc w:val="center"/>
              <w:textAlignment w:val="center"/>
              <w:rPr>
                <w:rFonts w:ascii="宋体" w:hAnsi="宋体"/>
                <w:szCs w:val="20"/>
              </w:rPr>
            </w:pPr>
            <w:r>
              <w:rPr>
                <w:rFonts w:hint="eastAsia" w:ascii="宋体" w:hAnsi="宋体"/>
                <w:szCs w:val="20"/>
              </w:rPr>
              <w:t>节</w:t>
            </w:r>
          </w:p>
        </w:tc>
      </w:tr>
      <w:tr w14:paraId="38A35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4D9C84FC">
            <w:pPr>
              <w:pStyle w:val="70"/>
              <w:widowControl/>
              <w:numPr>
                <w:ilvl w:val="0"/>
                <w:numId w:val="57"/>
              </w:numPr>
              <w:spacing w:line="240" w:lineRule="auto"/>
              <w:ind w:firstLineChars="0"/>
              <w:jc w:val="center"/>
              <w:rPr>
                <w:szCs w:val="20"/>
              </w:rPr>
            </w:pPr>
          </w:p>
        </w:tc>
        <w:tc>
          <w:tcPr>
            <w:tcW w:w="1989" w:type="dxa"/>
            <w:vAlign w:val="center"/>
          </w:tcPr>
          <w:p w14:paraId="187F9D37">
            <w:pPr>
              <w:widowControl/>
              <w:jc w:val="center"/>
              <w:textAlignment w:val="center"/>
              <w:rPr>
                <w:rFonts w:ascii="宋体" w:hAnsi="宋体"/>
                <w:szCs w:val="20"/>
              </w:rPr>
            </w:pPr>
            <w:r>
              <w:rPr>
                <w:rFonts w:hint="eastAsia" w:ascii="宋体" w:hAnsi="宋体"/>
                <w:szCs w:val="20"/>
              </w:rPr>
              <w:t>电池箱</w:t>
            </w:r>
          </w:p>
        </w:tc>
        <w:tc>
          <w:tcPr>
            <w:tcW w:w="4367" w:type="dxa"/>
            <w:shd w:val="clear" w:color="auto" w:fill="auto"/>
            <w:vAlign w:val="center"/>
          </w:tcPr>
          <w:p w14:paraId="76A0A495">
            <w:pPr>
              <w:widowControl/>
              <w:jc w:val="left"/>
              <w:textAlignment w:val="center"/>
              <w:rPr>
                <w:rFonts w:ascii="宋体" w:hAnsi="宋体"/>
                <w:szCs w:val="20"/>
              </w:rPr>
            </w:pPr>
            <w:r>
              <w:rPr>
                <w:rFonts w:ascii="宋体" w:hAnsi="宋体"/>
                <w:szCs w:val="20"/>
              </w:rPr>
              <w:t>≥</w:t>
            </w:r>
            <w:r>
              <w:rPr>
                <w:rFonts w:hint="eastAsia" w:ascii="宋体" w:hAnsi="宋体"/>
                <w:szCs w:val="20"/>
              </w:rPr>
              <w:t>L780*W880*H1190mm可装65AH或100AH×32节、4层、90kg</w:t>
            </w:r>
          </w:p>
        </w:tc>
        <w:tc>
          <w:tcPr>
            <w:tcW w:w="922" w:type="dxa"/>
            <w:vAlign w:val="center"/>
          </w:tcPr>
          <w:p w14:paraId="2372D2A1">
            <w:pPr>
              <w:widowControl/>
              <w:jc w:val="center"/>
              <w:textAlignment w:val="center"/>
              <w:rPr>
                <w:rFonts w:ascii="宋体" w:hAnsi="宋体"/>
                <w:szCs w:val="20"/>
              </w:rPr>
            </w:pPr>
            <w:r>
              <w:rPr>
                <w:rFonts w:hint="eastAsia" w:ascii="宋体" w:hAnsi="宋体"/>
                <w:szCs w:val="20"/>
              </w:rPr>
              <w:t>2</w:t>
            </w:r>
          </w:p>
        </w:tc>
        <w:tc>
          <w:tcPr>
            <w:tcW w:w="820" w:type="dxa"/>
            <w:vAlign w:val="center"/>
          </w:tcPr>
          <w:p w14:paraId="46934F64">
            <w:pPr>
              <w:widowControl/>
              <w:jc w:val="center"/>
              <w:textAlignment w:val="center"/>
              <w:rPr>
                <w:rFonts w:ascii="宋体" w:hAnsi="宋体"/>
                <w:szCs w:val="20"/>
              </w:rPr>
            </w:pPr>
            <w:r>
              <w:rPr>
                <w:rFonts w:hint="eastAsia" w:ascii="宋体" w:hAnsi="宋体"/>
                <w:szCs w:val="20"/>
              </w:rPr>
              <w:t>个</w:t>
            </w:r>
          </w:p>
        </w:tc>
      </w:tr>
      <w:tr w14:paraId="3A60B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6BDB4493">
            <w:pPr>
              <w:pStyle w:val="70"/>
              <w:widowControl/>
              <w:numPr>
                <w:ilvl w:val="0"/>
                <w:numId w:val="57"/>
              </w:numPr>
              <w:spacing w:line="240" w:lineRule="auto"/>
              <w:ind w:firstLineChars="0"/>
              <w:jc w:val="center"/>
              <w:rPr>
                <w:szCs w:val="20"/>
              </w:rPr>
            </w:pPr>
          </w:p>
        </w:tc>
        <w:tc>
          <w:tcPr>
            <w:tcW w:w="1989" w:type="dxa"/>
            <w:vAlign w:val="center"/>
          </w:tcPr>
          <w:p w14:paraId="255C3315">
            <w:pPr>
              <w:widowControl/>
              <w:jc w:val="center"/>
              <w:textAlignment w:val="center"/>
              <w:rPr>
                <w:rFonts w:ascii="宋体" w:hAnsi="宋体"/>
                <w:szCs w:val="20"/>
              </w:rPr>
            </w:pPr>
            <w:r>
              <w:rPr>
                <w:rFonts w:hint="eastAsia" w:ascii="宋体" w:hAnsi="宋体"/>
                <w:szCs w:val="20"/>
              </w:rPr>
              <w:t>电池连接电线</w:t>
            </w:r>
          </w:p>
        </w:tc>
        <w:tc>
          <w:tcPr>
            <w:tcW w:w="4367" w:type="dxa"/>
            <w:shd w:val="clear" w:color="auto" w:fill="FFFFFF"/>
            <w:vAlign w:val="center"/>
          </w:tcPr>
          <w:p w14:paraId="71322364">
            <w:pPr>
              <w:widowControl/>
              <w:jc w:val="left"/>
              <w:textAlignment w:val="center"/>
              <w:rPr>
                <w:rFonts w:ascii="宋体" w:hAnsi="宋体"/>
                <w:szCs w:val="20"/>
              </w:rPr>
            </w:pPr>
            <w:r>
              <w:rPr>
                <w:rFonts w:hint="eastAsia" w:ascii="宋体" w:hAnsi="宋体"/>
                <w:szCs w:val="20"/>
              </w:rPr>
              <w:t>2.5平方含接线铜鼻</w:t>
            </w:r>
          </w:p>
        </w:tc>
        <w:tc>
          <w:tcPr>
            <w:tcW w:w="922" w:type="dxa"/>
            <w:vAlign w:val="center"/>
          </w:tcPr>
          <w:p w14:paraId="5366CD90">
            <w:pPr>
              <w:widowControl/>
              <w:jc w:val="center"/>
              <w:textAlignment w:val="center"/>
              <w:rPr>
                <w:rFonts w:ascii="宋体" w:hAnsi="宋体"/>
                <w:szCs w:val="20"/>
              </w:rPr>
            </w:pPr>
            <w:r>
              <w:rPr>
                <w:rFonts w:hint="eastAsia" w:ascii="宋体" w:hAnsi="宋体"/>
                <w:szCs w:val="20"/>
              </w:rPr>
              <w:t>64</w:t>
            </w:r>
          </w:p>
        </w:tc>
        <w:tc>
          <w:tcPr>
            <w:tcW w:w="820" w:type="dxa"/>
            <w:vAlign w:val="center"/>
          </w:tcPr>
          <w:p w14:paraId="44FF2ED1">
            <w:pPr>
              <w:widowControl/>
              <w:jc w:val="center"/>
              <w:textAlignment w:val="center"/>
              <w:rPr>
                <w:rFonts w:ascii="宋体" w:hAnsi="宋体"/>
                <w:szCs w:val="20"/>
              </w:rPr>
            </w:pPr>
            <w:r>
              <w:rPr>
                <w:rFonts w:hint="eastAsia" w:ascii="宋体" w:hAnsi="宋体"/>
                <w:szCs w:val="20"/>
              </w:rPr>
              <w:t>条</w:t>
            </w:r>
          </w:p>
        </w:tc>
      </w:tr>
      <w:tr w14:paraId="0D7A3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41C1897F">
            <w:pPr>
              <w:pStyle w:val="70"/>
              <w:widowControl/>
              <w:numPr>
                <w:ilvl w:val="0"/>
                <w:numId w:val="57"/>
              </w:numPr>
              <w:spacing w:line="240" w:lineRule="auto"/>
              <w:ind w:firstLineChars="0"/>
              <w:jc w:val="center"/>
              <w:rPr>
                <w:szCs w:val="20"/>
              </w:rPr>
            </w:pPr>
          </w:p>
        </w:tc>
        <w:tc>
          <w:tcPr>
            <w:tcW w:w="1989" w:type="dxa"/>
            <w:vAlign w:val="center"/>
          </w:tcPr>
          <w:p w14:paraId="6DCDA167">
            <w:pPr>
              <w:widowControl/>
              <w:jc w:val="center"/>
              <w:textAlignment w:val="center"/>
              <w:rPr>
                <w:rFonts w:ascii="宋体" w:hAnsi="宋体"/>
                <w:szCs w:val="20"/>
              </w:rPr>
            </w:pPr>
            <w:r>
              <w:rPr>
                <w:rFonts w:hint="eastAsia" w:ascii="宋体" w:hAnsi="宋体"/>
                <w:szCs w:val="20"/>
              </w:rPr>
              <w:t>UPS与电池间连接线</w:t>
            </w:r>
          </w:p>
        </w:tc>
        <w:tc>
          <w:tcPr>
            <w:tcW w:w="4367" w:type="dxa"/>
            <w:shd w:val="clear" w:color="auto" w:fill="auto"/>
            <w:vAlign w:val="center"/>
          </w:tcPr>
          <w:p w14:paraId="7E0CF385">
            <w:pPr>
              <w:widowControl/>
              <w:jc w:val="left"/>
              <w:textAlignment w:val="center"/>
              <w:rPr>
                <w:rFonts w:ascii="宋体" w:hAnsi="宋体"/>
                <w:szCs w:val="20"/>
              </w:rPr>
            </w:pPr>
            <w:r>
              <w:rPr>
                <w:rFonts w:hint="eastAsia" w:ascii="宋体" w:hAnsi="宋体"/>
                <w:szCs w:val="20"/>
              </w:rPr>
              <w:t xml:space="preserve">UPS与电池间连接线缆  </w:t>
            </w:r>
            <w:r>
              <w:rPr>
                <w:rFonts w:ascii="宋体" w:hAnsi="宋体"/>
                <w:szCs w:val="20"/>
              </w:rPr>
              <w:t>≥</w:t>
            </w:r>
            <w:r>
              <w:rPr>
                <w:rFonts w:hint="eastAsia" w:ascii="宋体" w:hAnsi="宋体"/>
                <w:szCs w:val="20"/>
              </w:rPr>
              <w:t>3*25+2 铜缆</w:t>
            </w:r>
          </w:p>
        </w:tc>
        <w:tc>
          <w:tcPr>
            <w:tcW w:w="922" w:type="dxa"/>
            <w:vAlign w:val="center"/>
          </w:tcPr>
          <w:p w14:paraId="76901F33">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1E705403">
            <w:pPr>
              <w:widowControl/>
              <w:jc w:val="center"/>
              <w:textAlignment w:val="center"/>
              <w:rPr>
                <w:rFonts w:ascii="宋体" w:hAnsi="宋体"/>
                <w:szCs w:val="20"/>
              </w:rPr>
            </w:pPr>
            <w:r>
              <w:rPr>
                <w:rFonts w:hint="eastAsia" w:ascii="宋体" w:hAnsi="宋体"/>
                <w:szCs w:val="20"/>
              </w:rPr>
              <w:t>批</w:t>
            </w:r>
          </w:p>
        </w:tc>
      </w:tr>
      <w:tr w14:paraId="219B0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42CFEAC5">
            <w:pPr>
              <w:pStyle w:val="70"/>
              <w:widowControl/>
              <w:numPr>
                <w:ilvl w:val="0"/>
                <w:numId w:val="57"/>
              </w:numPr>
              <w:spacing w:line="240" w:lineRule="auto"/>
              <w:ind w:firstLineChars="0"/>
              <w:jc w:val="center"/>
              <w:rPr>
                <w:szCs w:val="20"/>
              </w:rPr>
            </w:pPr>
          </w:p>
        </w:tc>
        <w:tc>
          <w:tcPr>
            <w:tcW w:w="1989" w:type="dxa"/>
            <w:vAlign w:val="center"/>
          </w:tcPr>
          <w:p w14:paraId="77972D87">
            <w:pPr>
              <w:widowControl/>
              <w:jc w:val="center"/>
              <w:textAlignment w:val="center"/>
              <w:rPr>
                <w:rFonts w:ascii="宋体" w:hAnsi="宋体"/>
                <w:szCs w:val="20"/>
              </w:rPr>
            </w:pPr>
            <w:r>
              <w:rPr>
                <w:rFonts w:hint="eastAsia" w:ascii="宋体" w:hAnsi="宋体"/>
                <w:szCs w:val="20"/>
              </w:rPr>
              <w:t>UPS与强电动力柜连接线</w:t>
            </w:r>
          </w:p>
        </w:tc>
        <w:tc>
          <w:tcPr>
            <w:tcW w:w="4367" w:type="dxa"/>
            <w:shd w:val="clear" w:color="auto" w:fill="auto"/>
            <w:vAlign w:val="center"/>
          </w:tcPr>
          <w:p w14:paraId="1A18D17A">
            <w:pPr>
              <w:widowControl/>
              <w:jc w:val="left"/>
              <w:textAlignment w:val="center"/>
              <w:rPr>
                <w:rFonts w:ascii="宋体" w:hAnsi="宋体"/>
                <w:szCs w:val="20"/>
              </w:rPr>
            </w:pPr>
            <w:r>
              <w:rPr>
                <w:rFonts w:hint="eastAsia" w:ascii="宋体" w:hAnsi="宋体"/>
                <w:szCs w:val="20"/>
              </w:rPr>
              <w:t>UPS到强电动力柜380V连线 ,</w:t>
            </w:r>
            <w:r>
              <w:rPr>
                <w:rFonts w:ascii="宋体" w:hAnsi="宋体"/>
                <w:szCs w:val="20"/>
              </w:rPr>
              <w:t>≥</w:t>
            </w:r>
            <w:r>
              <w:rPr>
                <w:rFonts w:hint="eastAsia" w:ascii="宋体" w:hAnsi="宋体"/>
                <w:szCs w:val="20"/>
              </w:rPr>
              <w:t>3*25+2 铜缆</w:t>
            </w:r>
          </w:p>
        </w:tc>
        <w:tc>
          <w:tcPr>
            <w:tcW w:w="922" w:type="dxa"/>
            <w:vAlign w:val="center"/>
          </w:tcPr>
          <w:p w14:paraId="75B0204E">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765C5075">
            <w:pPr>
              <w:widowControl/>
              <w:jc w:val="center"/>
              <w:textAlignment w:val="center"/>
              <w:rPr>
                <w:rFonts w:ascii="宋体" w:hAnsi="宋体"/>
                <w:szCs w:val="20"/>
              </w:rPr>
            </w:pPr>
            <w:r>
              <w:rPr>
                <w:rFonts w:hint="eastAsia" w:ascii="宋体" w:hAnsi="宋体"/>
                <w:szCs w:val="20"/>
              </w:rPr>
              <w:t>批</w:t>
            </w:r>
          </w:p>
        </w:tc>
      </w:tr>
      <w:tr w14:paraId="39735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7428374B">
            <w:pPr>
              <w:pStyle w:val="70"/>
              <w:widowControl/>
              <w:numPr>
                <w:ilvl w:val="0"/>
                <w:numId w:val="57"/>
              </w:numPr>
              <w:spacing w:line="240" w:lineRule="auto"/>
              <w:ind w:firstLineChars="0"/>
              <w:jc w:val="center"/>
              <w:rPr>
                <w:szCs w:val="20"/>
              </w:rPr>
            </w:pPr>
          </w:p>
        </w:tc>
        <w:tc>
          <w:tcPr>
            <w:tcW w:w="1989" w:type="dxa"/>
            <w:vAlign w:val="center"/>
          </w:tcPr>
          <w:p w14:paraId="676553EE">
            <w:pPr>
              <w:widowControl/>
              <w:jc w:val="center"/>
              <w:textAlignment w:val="center"/>
              <w:rPr>
                <w:rFonts w:ascii="宋体" w:hAnsi="宋体"/>
                <w:szCs w:val="20"/>
              </w:rPr>
            </w:pPr>
            <w:r>
              <w:rPr>
                <w:rFonts w:hint="eastAsia" w:ascii="宋体" w:hAnsi="宋体"/>
                <w:szCs w:val="20"/>
              </w:rPr>
              <w:t>其他及辅材</w:t>
            </w:r>
          </w:p>
        </w:tc>
        <w:tc>
          <w:tcPr>
            <w:tcW w:w="4367" w:type="dxa"/>
            <w:shd w:val="clear" w:color="auto" w:fill="auto"/>
            <w:vAlign w:val="center"/>
          </w:tcPr>
          <w:p w14:paraId="5147E109">
            <w:pPr>
              <w:widowControl/>
              <w:jc w:val="center"/>
              <w:textAlignment w:val="center"/>
              <w:rPr>
                <w:rFonts w:ascii="宋体" w:hAnsi="宋体"/>
                <w:szCs w:val="20"/>
              </w:rPr>
            </w:pPr>
            <w:r>
              <w:rPr>
                <w:rFonts w:hint="eastAsia" w:ascii="宋体" w:hAnsi="宋体"/>
                <w:szCs w:val="20"/>
              </w:rPr>
              <w:t>机房建设所需要的辅助材料</w:t>
            </w:r>
          </w:p>
        </w:tc>
        <w:tc>
          <w:tcPr>
            <w:tcW w:w="922" w:type="dxa"/>
            <w:vAlign w:val="center"/>
          </w:tcPr>
          <w:p w14:paraId="755EEEAF">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04E65ECE">
            <w:pPr>
              <w:widowControl/>
              <w:jc w:val="center"/>
              <w:textAlignment w:val="center"/>
              <w:rPr>
                <w:rFonts w:ascii="宋体" w:hAnsi="宋体"/>
                <w:szCs w:val="20"/>
              </w:rPr>
            </w:pPr>
            <w:r>
              <w:rPr>
                <w:rFonts w:hint="eastAsia" w:ascii="宋体" w:hAnsi="宋体"/>
                <w:szCs w:val="20"/>
              </w:rPr>
              <w:t>批</w:t>
            </w:r>
          </w:p>
        </w:tc>
      </w:tr>
      <w:tr w14:paraId="2B135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727126DD">
            <w:pPr>
              <w:pStyle w:val="70"/>
              <w:widowControl/>
              <w:numPr>
                <w:ilvl w:val="0"/>
                <w:numId w:val="57"/>
              </w:numPr>
              <w:spacing w:line="240" w:lineRule="auto"/>
              <w:ind w:firstLineChars="0"/>
              <w:jc w:val="center"/>
              <w:rPr>
                <w:szCs w:val="20"/>
              </w:rPr>
            </w:pPr>
          </w:p>
        </w:tc>
        <w:tc>
          <w:tcPr>
            <w:tcW w:w="1989" w:type="dxa"/>
            <w:vAlign w:val="center"/>
          </w:tcPr>
          <w:p w14:paraId="74F9D4D5">
            <w:pPr>
              <w:widowControl/>
              <w:jc w:val="center"/>
              <w:textAlignment w:val="center"/>
              <w:rPr>
                <w:rFonts w:ascii="宋体" w:hAnsi="宋体"/>
                <w:szCs w:val="20"/>
              </w:rPr>
            </w:pPr>
            <w:r>
              <w:rPr>
                <w:rFonts w:hint="eastAsia" w:ascii="宋体" w:hAnsi="宋体"/>
                <w:szCs w:val="20"/>
              </w:rPr>
              <w:t>监控主机配置</w:t>
            </w:r>
          </w:p>
        </w:tc>
        <w:tc>
          <w:tcPr>
            <w:tcW w:w="4367" w:type="dxa"/>
            <w:shd w:val="clear" w:color="auto" w:fill="auto"/>
            <w:vAlign w:val="center"/>
          </w:tcPr>
          <w:p w14:paraId="2692BAB1">
            <w:pPr>
              <w:widowControl/>
              <w:jc w:val="left"/>
              <w:textAlignment w:val="center"/>
              <w:rPr>
                <w:rFonts w:ascii="宋体" w:hAnsi="宋体"/>
                <w:szCs w:val="20"/>
              </w:rPr>
            </w:pPr>
            <w:r>
              <w:rPr>
                <w:rFonts w:hint="eastAsia" w:ascii="宋体" w:hAnsi="宋体"/>
                <w:szCs w:val="20"/>
              </w:rPr>
              <w:t>1.监控主机支持双电源输入，具备双电源冗余设计。</w:t>
            </w:r>
          </w:p>
          <w:p w14:paraId="69C28C9C">
            <w:pPr>
              <w:widowControl/>
              <w:jc w:val="left"/>
              <w:textAlignment w:val="center"/>
              <w:rPr>
                <w:rFonts w:ascii="宋体" w:hAnsi="宋体"/>
                <w:szCs w:val="20"/>
              </w:rPr>
            </w:pPr>
            <w:r>
              <w:rPr>
                <w:rFonts w:hint="eastAsia" w:ascii="宋体" w:hAnsi="宋体"/>
                <w:szCs w:val="20"/>
              </w:rPr>
              <w:t>2.平台采用linux操作系统，linux系统简单、稳定、不易中病毒。</w:t>
            </w:r>
          </w:p>
          <w:p w14:paraId="6337D4A0">
            <w:pPr>
              <w:widowControl/>
              <w:jc w:val="left"/>
              <w:textAlignment w:val="center"/>
              <w:rPr>
                <w:rFonts w:ascii="宋体" w:hAnsi="宋体"/>
                <w:szCs w:val="20"/>
              </w:rPr>
            </w:pPr>
            <w:r>
              <w:rPr>
                <w:rFonts w:hint="eastAsia" w:ascii="宋体" w:hAnsi="宋体"/>
                <w:szCs w:val="20"/>
              </w:rPr>
              <w:t xml:space="preserve">3.处理器  </w:t>
            </w:r>
            <w:r>
              <w:rPr>
                <w:rFonts w:ascii="宋体" w:hAnsi="宋体"/>
                <w:szCs w:val="20"/>
              </w:rPr>
              <w:t>≥</w:t>
            </w:r>
            <w:r>
              <w:rPr>
                <w:rFonts w:hint="eastAsia" w:ascii="宋体" w:hAnsi="宋体"/>
                <w:szCs w:val="20"/>
              </w:rPr>
              <w:t>32位 ARM Cortex-A9</w:t>
            </w:r>
          </w:p>
          <w:p w14:paraId="407D8AD7">
            <w:pPr>
              <w:widowControl/>
              <w:jc w:val="left"/>
              <w:textAlignment w:val="center"/>
              <w:rPr>
                <w:rFonts w:ascii="宋体" w:hAnsi="宋体"/>
                <w:szCs w:val="20"/>
              </w:rPr>
            </w:pPr>
            <w:r>
              <w:rPr>
                <w:rFonts w:hint="eastAsia" w:ascii="宋体" w:hAnsi="宋体"/>
                <w:szCs w:val="20"/>
              </w:rPr>
              <w:t xml:space="preserve">操作系统 Linux </w:t>
            </w:r>
          </w:p>
          <w:p w14:paraId="147C8160">
            <w:pPr>
              <w:widowControl/>
              <w:jc w:val="left"/>
              <w:textAlignment w:val="center"/>
              <w:rPr>
                <w:rFonts w:ascii="宋体" w:hAnsi="宋体"/>
                <w:szCs w:val="20"/>
              </w:rPr>
            </w:pPr>
            <w:r>
              <w:rPr>
                <w:rFonts w:hint="eastAsia" w:ascii="宋体" w:hAnsi="宋体"/>
                <w:szCs w:val="20"/>
              </w:rPr>
              <w:t>内存  1G</w:t>
            </w:r>
          </w:p>
          <w:p w14:paraId="39B85C33">
            <w:pPr>
              <w:widowControl/>
              <w:jc w:val="left"/>
              <w:textAlignment w:val="center"/>
              <w:rPr>
                <w:rFonts w:ascii="宋体" w:hAnsi="宋体"/>
                <w:szCs w:val="20"/>
              </w:rPr>
            </w:pPr>
            <w:r>
              <w:rPr>
                <w:rFonts w:hint="eastAsia" w:ascii="宋体" w:hAnsi="宋体"/>
                <w:szCs w:val="20"/>
              </w:rPr>
              <w:t xml:space="preserve">存储  </w:t>
            </w:r>
            <w:r>
              <w:rPr>
                <w:rFonts w:ascii="宋体" w:hAnsi="宋体"/>
                <w:szCs w:val="20"/>
              </w:rPr>
              <w:t>≥</w:t>
            </w:r>
            <w:r>
              <w:rPr>
                <w:rFonts w:hint="eastAsia" w:ascii="宋体" w:hAnsi="宋体"/>
                <w:szCs w:val="20"/>
              </w:rPr>
              <w:t xml:space="preserve">8G eMMC(核心板)， </w:t>
            </w:r>
            <w:r>
              <w:rPr>
                <w:rFonts w:ascii="宋体" w:hAnsi="宋体"/>
                <w:szCs w:val="20"/>
              </w:rPr>
              <w:t>≥</w:t>
            </w:r>
            <w:r>
              <w:rPr>
                <w:rFonts w:hint="eastAsia" w:ascii="宋体" w:hAnsi="宋体"/>
                <w:szCs w:val="20"/>
              </w:rPr>
              <w:t xml:space="preserve">16G 固态硬盘 </w:t>
            </w:r>
          </w:p>
          <w:p w14:paraId="625E10B3">
            <w:pPr>
              <w:widowControl/>
              <w:jc w:val="left"/>
              <w:textAlignment w:val="center"/>
              <w:rPr>
                <w:rFonts w:ascii="宋体" w:hAnsi="宋体"/>
                <w:szCs w:val="20"/>
              </w:rPr>
            </w:pPr>
            <w:r>
              <w:rPr>
                <w:rFonts w:hint="eastAsia" w:ascii="宋体" w:hAnsi="宋体"/>
                <w:szCs w:val="20"/>
              </w:rPr>
              <w:t xml:space="preserve">上行网络接口 </w:t>
            </w:r>
            <w:r>
              <w:rPr>
                <w:rFonts w:ascii="宋体" w:hAnsi="宋体"/>
                <w:szCs w:val="20"/>
              </w:rPr>
              <w:t>≥</w:t>
            </w:r>
            <w:r>
              <w:rPr>
                <w:rFonts w:hint="eastAsia" w:ascii="宋体" w:hAnsi="宋体"/>
                <w:szCs w:val="20"/>
              </w:rPr>
              <w:t>4个网口，</w:t>
            </w:r>
            <w:r>
              <w:rPr>
                <w:rFonts w:ascii="宋体" w:hAnsi="宋体"/>
                <w:szCs w:val="20"/>
              </w:rPr>
              <w:t>≥</w:t>
            </w:r>
            <w:r>
              <w:rPr>
                <w:rFonts w:hint="eastAsia" w:ascii="宋体" w:hAnsi="宋体"/>
                <w:szCs w:val="20"/>
              </w:rPr>
              <w:t>2路独立网卡，</w:t>
            </w:r>
            <w:r>
              <w:rPr>
                <w:rFonts w:ascii="宋体" w:hAnsi="宋体"/>
                <w:szCs w:val="20"/>
              </w:rPr>
              <w:t>≥</w:t>
            </w:r>
            <w:r>
              <w:rPr>
                <w:rFonts w:hint="eastAsia" w:ascii="宋体" w:hAnsi="宋体"/>
                <w:szCs w:val="20"/>
              </w:rPr>
              <w:t>100/10M自适应</w:t>
            </w:r>
          </w:p>
          <w:p w14:paraId="0036211C">
            <w:pPr>
              <w:widowControl/>
              <w:jc w:val="left"/>
              <w:textAlignment w:val="center"/>
              <w:rPr>
                <w:rFonts w:ascii="宋体" w:hAnsi="宋体"/>
                <w:szCs w:val="20"/>
              </w:rPr>
            </w:pPr>
            <w:r>
              <w:rPr>
                <w:rFonts w:hint="eastAsia" w:ascii="宋体" w:hAnsi="宋体"/>
                <w:szCs w:val="20"/>
              </w:rPr>
              <w:t xml:space="preserve">下行串口 </w:t>
            </w:r>
            <w:r>
              <w:rPr>
                <w:rFonts w:ascii="宋体" w:hAnsi="宋体"/>
                <w:szCs w:val="20"/>
              </w:rPr>
              <w:t>≥</w:t>
            </w:r>
            <w:r>
              <w:rPr>
                <w:rFonts w:hint="eastAsia" w:ascii="宋体" w:hAnsi="宋体"/>
                <w:szCs w:val="20"/>
              </w:rPr>
              <w:t xml:space="preserve">10个下行RS485串口（串口10为RS232或RS485复用）。每个RS485/232采用单独RJ45接口，具备DC12V供电能力，最大输出电流500mA </w:t>
            </w:r>
          </w:p>
          <w:p w14:paraId="69CBEAAF">
            <w:pPr>
              <w:widowControl/>
              <w:jc w:val="left"/>
              <w:textAlignment w:val="center"/>
              <w:rPr>
                <w:rFonts w:ascii="宋体" w:hAnsi="宋体"/>
                <w:szCs w:val="20"/>
              </w:rPr>
            </w:pPr>
            <w:r>
              <w:rPr>
                <w:rFonts w:hint="eastAsia" w:ascii="宋体" w:hAnsi="宋体"/>
                <w:szCs w:val="20"/>
              </w:rPr>
              <w:t xml:space="preserve">DI输入 10个DI输入端口，每个DI采用单独RJ45接口，具备DC12V供电能力，最大输出电流100mA。 </w:t>
            </w:r>
          </w:p>
          <w:p w14:paraId="26CE6847">
            <w:pPr>
              <w:widowControl/>
              <w:jc w:val="left"/>
              <w:textAlignment w:val="center"/>
              <w:rPr>
                <w:rFonts w:ascii="宋体" w:hAnsi="宋体"/>
                <w:szCs w:val="20"/>
              </w:rPr>
            </w:pPr>
            <w:r>
              <w:rPr>
                <w:rFonts w:hint="eastAsia" w:ascii="宋体" w:hAnsi="宋体"/>
                <w:szCs w:val="20"/>
              </w:rPr>
              <w:t xml:space="preserve">DO输出 4个DO输出端口，每个DO采用单独RJ45接口，C型继电器 </w:t>
            </w:r>
          </w:p>
          <w:p w14:paraId="294E3CA7">
            <w:pPr>
              <w:widowControl/>
              <w:jc w:val="left"/>
              <w:textAlignment w:val="center"/>
              <w:rPr>
                <w:rFonts w:ascii="宋体" w:hAnsi="宋体"/>
                <w:szCs w:val="20"/>
              </w:rPr>
            </w:pPr>
            <w:r>
              <w:rPr>
                <w:rFonts w:hint="eastAsia" w:ascii="宋体" w:hAnsi="宋体"/>
                <w:szCs w:val="20"/>
              </w:rPr>
              <w:t xml:space="preserve">其它接口  1路HDMI显示输出，2个USB2.0接口 </w:t>
            </w:r>
          </w:p>
          <w:p w14:paraId="239304EE">
            <w:pPr>
              <w:widowControl/>
              <w:jc w:val="left"/>
              <w:textAlignment w:val="center"/>
              <w:rPr>
                <w:rFonts w:ascii="宋体" w:hAnsi="宋体"/>
                <w:szCs w:val="20"/>
              </w:rPr>
            </w:pPr>
            <w:r>
              <w:rPr>
                <w:rFonts w:hint="eastAsia" w:ascii="宋体" w:hAnsi="宋体"/>
                <w:szCs w:val="20"/>
              </w:rPr>
              <w:t>电源输出  3组， DC12V/3A</w:t>
            </w:r>
          </w:p>
          <w:p w14:paraId="0D0278CD">
            <w:pPr>
              <w:widowControl/>
              <w:jc w:val="left"/>
              <w:textAlignment w:val="center"/>
              <w:rPr>
                <w:rFonts w:ascii="宋体" w:hAnsi="宋体"/>
                <w:szCs w:val="20"/>
              </w:rPr>
            </w:pPr>
            <w:r>
              <w:rPr>
                <w:rFonts w:hint="eastAsia" w:ascii="宋体" w:hAnsi="宋体"/>
                <w:szCs w:val="20"/>
              </w:rPr>
              <w:t xml:space="preserve">电源输入  2路，AC220/DC240V </w:t>
            </w:r>
          </w:p>
          <w:p w14:paraId="422EA484">
            <w:pPr>
              <w:widowControl/>
              <w:jc w:val="left"/>
              <w:textAlignment w:val="center"/>
              <w:rPr>
                <w:rFonts w:ascii="宋体" w:hAnsi="宋体"/>
                <w:szCs w:val="20"/>
              </w:rPr>
            </w:pPr>
            <w:r>
              <w:rPr>
                <w:rFonts w:hint="eastAsia" w:ascii="宋体" w:hAnsi="宋体"/>
                <w:szCs w:val="20"/>
              </w:rPr>
              <w:t>支持 RS485 接口7-10口支持环接，支持 RS485 接口透传功能，南向部件接入后与网管实现通信。</w:t>
            </w:r>
          </w:p>
        </w:tc>
        <w:tc>
          <w:tcPr>
            <w:tcW w:w="922" w:type="dxa"/>
            <w:vAlign w:val="center"/>
          </w:tcPr>
          <w:p w14:paraId="7826EB70">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52BF2ED6">
            <w:pPr>
              <w:widowControl/>
              <w:spacing w:line="240" w:lineRule="auto"/>
              <w:jc w:val="center"/>
              <w:rPr>
                <w:rFonts w:ascii="宋体" w:hAnsi="宋体"/>
                <w:szCs w:val="20"/>
              </w:rPr>
            </w:pPr>
            <w:r>
              <w:rPr>
                <w:rFonts w:hint="eastAsia" w:ascii="宋体" w:hAnsi="宋体"/>
                <w:szCs w:val="20"/>
              </w:rPr>
              <w:t>套</w:t>
            </w:r>
          </w:p>
        </w:tc>
      </w:tr>
      <w:tr w14:paraId="28D3E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0265727E">
            <w:pPr>
              <w:pStyle w:val="70"/>
              <w:widowControl/>
              <w:numPr>
                <w:ilvl w:val="0"/>
                <w:numId w:val="57"/>
              </w:numPr>
              <w:spacing w:line="240" w:lineRule="auto"/>
              <w:ind w:firstLineChars="0"/>
              <w:jc w:val="center"/>
              <w:rPr>
                <w:szCs w:val="20"/>
              </w:rPr>
            </w:pPr>
          </w:p>
        </w:tc>
        <w:tc>
          <w:tcPr>
            <w:tcW w:w="1989" w:type="dxa"/>
            <w:vAlign w:val="center"/>
          </w:tcPr>
          <w:p w14:paraId="1DB6C4A8">
            <w:pPr>
              <w:widowControl/>
              <w:textAlignment w:val="center"/>
              <w:rPr>
                <w:rFonts w:ascii="宋体" w:hAnsi="宋体"/>
                <w:szCs w:val="20"/>
              </w:rPr>
            </w:pPr>
            <w:r>
              <w:rPr>
                <w:rFonts w:hint="eastAsia" w:ascii="宋体" w:hAnsi="宋体"/>
                <w:szCs w:val="20"/>
              </w:rPr>
              <w:t>制冷系统监控功能</w:t>
            </w:r>
          </w:p>
        </w:tc>
        <w:tc>
          <w:tcPr>
            <w:tcW w:w="4367" w:type="dxa"/>
            <w:shd w:val="clear" w:color="auto" w:fill="auto"/>
            <w:vAlign w:val="center"/>
          </w:tcPr>
          <w:p w14:paraId="421FBE73">
            <w:pPr>
              <w:widowControl/>
              <w:textAlignment w:val="center"/>
              <w:rPr>
                <w:rFonts w:ascii="宋体" w:hAnsi="宋体"/>
                <w:szCs w:val="20"/>
              </w:rPr>
            </w:pPr>
            <w:r>
              <w:rPr>
                <w:rFonts w:hint="eastAsia" w:ascii="宋体" w:hAnsi="宋体"/>
                <w:szCs w:val="20"/>
              </w:rPr>
              <w:t>动环监控系统具备监控空调回送风情况、运行状况、空调各部件（如压缩机、风机、加热器、加湿器、滤网等）的运行状态与参数</w:t>
            </w:r>
          </w:p>
        </w:tc>
        <w:tc>
          <w:tcPr>
            <w:tcW w:w="922" w:type="dxa"/>
            <w:vAlign w:val="center"/>
          </w:tcPr>
          <w:p w14:paraId="3AF0201B">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11B3CED7">
            <w:pPr>
              <w:widowControl/>
              <w:spacing w:line="240" w:lineRule="auto"/>
              <w:jc w:val="center"/>
              <w:rPr>
                <w:rFonts w:ascii="宋体" w:hAnsi="宋体"/>
                <w:szCs w:val="20"/>
              </w:rPr>
            </w:pPr>
            <w:r>
              <w:rPr>
                <w:rFonts w:hint="eastAsia" w:ascii="宋体" w:hAnsi="宋体"/>
                <w:szCs w:val="20"/>
              </w:rPr>
              <w:t>套</w:t>
            </w:r>
          </w:p>
        </w:tc>
      </w:tr>
      <w:tr w14:paraId="1B18A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3B053049">
            <w:pPr>
              <w:pStyle w:val="70"/>
              <w:widowControl/>
              <w:numPr>
                <w:ilvl w:val="0"/>
                <w:numId w:val="57"/>
              </w:numPr>
              <w:spacing w:line="240" w:lineRule="auto"/>
              <w:ind w:firstLineChars="0"/>
              <w:jc w:val="center"/>
              <w:rPr>
                <w:szCs w:val="20"/>
              </w:rPr>
            </w:pPr>
          </w:p>
        </w:tc>
        <w:tc>
          <w:tcPr>
            <w:tcW w:w="1989" w:type="dxa"/>
            <w:vAlign w:val="center"/>
          </w:tcPr>
          <w:p w14:paraId="3BD82F03">
            <w:pPr>
              <w:widowControl/>
              <w:textAlignment w:val="center"/>
              <w:rPr>
                <w:rFonts w:ascii="宋体" w:hAnsi="宋体"/>
                <w:szCs w:val="20"/>
              </w:rPr>
            </w:pPr>
            <w:r>
              <w:rPr>
                <w:rFonts w:hint="eastAsia" w:ascii="宋体" w:hAnsi="宋体"/>
                <w:szCs w:val="20"/>
              </w:rPr>
              <w:t>系统功能</w:t>
            </w:r>
          </w:p>
        </w:tc>
        <w:tc>
          <w:tcPr>
            <w:tcW w:w="4367" w:type="dxa"/>
            <w:shd w:val="clear" w:color="auto" w:fill="auto"/>
            <w:vAlign w:val="center"/>
          </w:tcPr>
          <w:p w14:paraId="467037D0">
            <w:pPr>
              <w:widowControl/>
              <w:textAlignment w:val="center"/>
              <w:rPr>
                <w:rFonts w:ascii="宋体" w:hAnsi="宋体"/>
                <w:szCs w:val="20"/>
              </w:rPr>
            </w:pPr>
            <w:r>
              <w:rPr>
                <w:rFonts w:hint="eastAsia" w:ascii="宋体" w:hAnsi="宋体"/>
                <w:szCs w:val="20"/>
              </w:rPr>
              <w:t>1.动环监控系统具有断点续传功能，在集控平台和网络出现故障时，能保持本地存储，并在故障恢复后，将保存的数据同步到集控平台；</w:t>
            </w:r>
          </w:p>
          <w:p w14:paraId="6D1B78CA">
            <w:pPr>
              <w:widowControl/>
              <w:textAlignment w:val="center"/>
              <w:rPr>
                <w:rFonts w:ascii="宋体" w:hAnsi="宋体"/>
                <w:szCs w:val="20"/>
              </w:rPr>
            </w:pPr>
            <w:r>
              <w:rPr>
                <w:rFonts w:hint="eastAsia" w:ascii="宋体" w:hAnsi="宋体"/>
                <w:szCs w:val="20"/>
              </w:rPr>
              <w:t>2. 动环监控系统支持通过时间、等级、状态等条件筛选历史数据、告警事件，并支持数据导出；动环监控系统支持事件记录统计分析设备运行状况，并通过曲线、图表等方式显示。</w:t>
            </w:r>
          </w:p>
          <w:p w14:paraId="7EC7702C">
            <w:pPr>
              <w:widowControl/>
              <w:textAlignment w:val="center"/>
              <w:rPr>
                <w:rFonts w:ascii="宋体" w:hAnsi="宋体"/>
                <w:szCs w:val="20"/>
              </w:rPr>
            </w:pPr>
            <w:r>
              <w:rPr>
                <w:rFonts w:hint="eastAsia" w:ascii="宋体" w:hAnsi="宋体"/>
                <w:szCs w:val="20"/>
              </w:rPr>
              <w:t>3. 动环监控系统支持监测数据实时存储，存储周期可设置。</w:t>
            </w:r>
          </w:p>
          <w:p w14:paraId="068BAA1F">
            <w:pPr>
              <w:widowControl/>
              <w:textAlignment w:val="center"/>
              <w:rPr>
                <w:rFonts w:ascii="宋体" w:hAnsi="宋体"/>
                <w:szCs w:val="20"/>
              </w:rPr>
            </w:pPr>
            <w:r>
              <w:rPr>
                <w:rFonts w:hint="eastAsia" w:ascii="宋体" w:hAnsi="宋体"/>
                <w:szCs w:val="20"/>
              </w:rPr>
              <w:t>4. 动环监控具备 NTP 自动对时功能。</w:t>
            </w:r>
          </w:p>
          <w:p w14:paraId="489B993F">
            <w:pPr>
              <w:widowControl/>
              <w:textAlignment w:val="center"/>
              <w:rPr>
                <w:rFonts w:ascii="宋体" w:hAnsi="宋体"/>
                <w:szCs w:val="20"/>
              </w:rPr>
            </w:pPr>
            <w:r>
              <w:rPr>
                <w:rFonts w:hint="eastAsia" w:ascii="宋体" w:hAnsi="宋体"/>
                <w:szCs w:val="20"/>
              </w:rPr>
              <w:t>5. 动环监控系统支持手机APP 实时查看设备信息，可支持安卓与IOS系统。</w:t>
            </w:r>
          </w:p>
        </w:tc>
        <w:tc>
          <w:tcPr>
            <w:tcW w:w="922" w:type="dxa"/>
            <w:vAlign w:val="center"/>
          </w:tcPr>
          <w:p w14:paraId="3AE33223">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22E8B6BC">
            <w:pPr>
              <w:widowControl/>
              <w:spacing w:line="240" w:lineRule="auto"/>
              <w:jc w:val="center"/>
              <w:rPr>
                <w:rFonts w:ascii="宋体" w:hAnsi="宋体"/>
                <w:szCs w:val="20"/>
              </w:rPr>
            </w:pPr>
            <w:r>
              <w:rPr>
                <w:rFonts w:hint="eastAsia" w:ascii="宋体" w:hAnsi="宋体"/>
                <w:szCs w:val="20"/>
              </w:rPr>
              <w:t>套</w:t>
            </w:r>
          </w:p>
        </w:tc>
      </w:tr>
      <w:tr w14:paraId="3391C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73621AE2">
            <w:pPr>
              <w:pStyle w:val="70"/>
              <w:widowControl/>
              <w:numPr>
                <w:ilvl w:val="0"/>
                <w:numId w:val="57"/>
              </w:numPr>
              <w:spacing w:line="240" w:lineRule="auto"/>
              <w:ind w:firstLineChars="0"/>
              <w:jc w:val="center"/>
              <w:rPr>
                <w:szCs w:val="20"/>
              </w:rPr>
            </w:pPr>
          </w:p>
        </w:tc>
        <w:tc>
          <w:tcPr>
            <w:tcW w:w="1989" w:type="dxa"/>
            <w:vAlign w:val="center"/>
          </w:tcPr>
          <w:p w14:paraId="189CC14E">
            <w:pPr>
              <w:widowControl/>
              <w:jc w:val="center"/>
              <w:textAlignment w:val="center"/>
              <w:rPr>
                <w:rFonts w:ascii="宋体" w:hAnsi="宋体"/>
                <w:szCs w:val="20"/>
              </w:rPr>
            </w:pPr>
            <w:r>
              <w:rPr>
                <w:rFonts w:hint="eastAsia" w:ascii="宋体" w:hAnsi="宋体"/>
                <w:szCs w:val="20"/>
              </w:rPr>
              <w:t>可视化管理功能</w:t>
            </w:r>
          </w:p>
        </w:tc>
        <w:tc>
          <w:tcPr>
            <w:tcW w:w="4367" w:type="dxa"/>
            <w:shd w:val="clear" w:color="auto" w:fill="auto"/>
            <w:vAlign w:val="center"/>
          </w:tcPr>
          <w:p w14:paraId="07886B8D">
            <w:pPr>
              <w:widowControl/>
              <w:textAlignment w:val="center"/>
              <w:rPr>
                <w:rFonts w:ascii="宋体" w:hAnsi="宋体"/>
                <w:szCs w:val="20"/>
              </w:rPr>
            </w:pPr>
            <w:r>
              <w:rPr>
                <w:rFonts w:hint="eastAsia" w:ascii="宋体" w:hAnsi="宋体"/>
                <w:szCs w:val="20"/>
              </w:rPr>
              <w:t>1.系统支持2D/2.5D机房及微模块效果展示，支持插入JPG/PNG/GIF等多种类型图片格式导入；</w:t>
            </w:r>
          </w:p>
          <w:p w14:paraId="20119096">
            <w:pPr>
              <w:widowControl/>
              <w:textAlignment w:val="center"/>
              <w:rPr>
                <w:rFonts w:ascii="宋体" w:hAnsi="宋体"/>
                <w:szCs w:val="20"/>
              </w:rPr>
            </w:pPr>
            <w:r>
              <w:rPr>
                <w:rFonts w:hint="eastAsia" w:ascii="宋体" w:hAnsi="宋体"/>
                <w:szCs w:val="20"/>
              </w:rPr>
              <w:t>2、支持图层跳转，平面效果图可绑定数据跳转连接，支持跳转查看房间、机柜、设备等层级界面；</w:t>
            </w:r>
          </w:p>
        </w:tc>
        <w:tc>
          <w:tcPr>
            <w:tcW w:w="922" w:type="dxa"/>
            <w:vAlign w:val="center"/>
          </w:tcPr>
          <w:p w14:paraId="383B75AC">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38D6E754">
            <w:pPr>
              <w:widowControl/>
              <w:spacing w:line="240" w:lineRule="auto"/>
              <w:jc w:val="center"/>
              <w:rPr>
                <w:rFonts w:ascii="宋体" w:hAnsi="宋体"/>
                <w:szCs w:val="20"/>
              </w:rPr>
            </w:pPr>
            <w:r>
              <w:rPr>
                <w:rFonts w:hint="eastAsia" w:ascii="宋体" w:hAnsi="宋体"/>
                <w:szCs w:val="20"/>
              </w:rPr>
              <w:t>套</w:t>
            </w:r>
          </w:p>
        </w:tc>
      </w:tr>
      <w:tr w14:paraId="5FF24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2124556A">
            <w:pPr>
              <w:pStyle w:val="70"/>
              <w:widowControl/>
              <w:numPr>
                <w:ilvl w:val="0"/>
                <w:numId w:val="57"/>
              </w:numPr>
              <w:spacing w:line="240" w:lineRule="auto"/>
              <w:ind w:firstLineChars="0"/>
              <w:jc w:val="center"/>
              <w:rPr>
                <w:szCs w:val="20"/>
              </w:rPr>
            </w:pPr>
          </w:p>
        </w:tc>
        <w:tc>
          <w:tcPr>
            <w:tcW w:w="1989" w:type="dxa"/>
            <w:vAlign w:val="center"/>
          </w:tcPr>
          <w:p w14:paraId="2E988A42">
            <w:pPr>
              <w:widowControl/>
              <w:jc w:val="left"/>
              <w:textAlignment w:val="center"/>
              <w:rPr>
                <w:rFonts w:ascii="宋体" w:hAnsi="宋体"/>
                <w:szCs w:val="20"/>
              </w:rPr>
            </w:pPr>
            <w:r>
              <w:rPr>
                <w:rFonts w:hint="eastAsia" w:ascii="宋体" w:hAnsi="宋体"/>
                <w:szCs w:val="20"/>
              </w:rPr>
              <w:t>链路管理功能</w:t>
            </w:r>
          </w:p>
        </w:tc>
        <w:tc>
          <w:tcPr>
            <w:tcW w:w="4367" w:type="dxa"/>
            <w:shd w:val="clear" w:color="auto" w:fill="auto"/>
            <w:vAlign w:val="center"/>
          </w:tcPr>
          <w:p w14:paraId="60A6EF5F">
            <w:pPr>
              <w:widowControl/>
              <w:textAlignment w:val="center"/>
              <w:rPr>
                <w:rFonts w:ascii="宋体" w:hAnsi="宋体"/>
                <w:szCs w:val="20"/>
              </w:rPr>
            </w:pPr>
            <w:r>
              <w:rPr>
                <w:rFonts w:hint="eastAsia" w:ascii="宋体" w:hAnsi="宋体"/>
                <w:szCs w:val="20"/>
              </w:rPr>
              <w:t>1.动环监控系统支持链路可视化，包含配电链路、制冷链路、通讯链路功能；</w:t>
            </w:r>
          </w:p>
          <w:p w14:paraId="1AEE44CD">
            <w:pPr>
              <w:widowControl/>
              <w:textAlignment w:val="center"/>
              <w:rPr>
                <w:rFonts w:ascii="宋体" w:hAnsi="宋体"/>
                <w:szCs w:val="20"/>
              </w:rPr>
            </w:pPr>
            <w:r>
              <w:rPr>
                <w:rFonts w:hint="eastAsia" w:ascii="宋体" w:hAnsi="宋体"/>
                <w:szCs w:val="20"/>
              </w:rPr>
              <w:t>1）配电链路：支持系统的市电输入，电源配置，配电配置以及配电支路信息、机柜信息组成链路关系图；</w:t>
            </w:r>
          </w:p>
          <w:p w14:paraId="45BF7716">
            <w:pPr>
              <w:widowControl/>
              <w:textAlignment w:val="center"/>
              <w:rPr>
                <w:rFonts w:ascii="宋体" w:hAnsi="宋体"/>
                <w:szCs w:val="20"/>
              </w:rPr>
            </w:pPr>
            <w:r>
              <w:rPr>
                <w:rFonts w:hint="eastAsia" w:ascii="宋体" w:hAnsi="宋体"/>
                <w:szCs w:val="20"/>
              </w:rPr>
              <w:t>2）制冷链路：支持微模块系统空调的冷链图，单个空调的单机链路图、展示冷量信息；</w:t>
            </w:r>
          </w:p>
          <w:p w14:paraId="42DABBDF">
            <w:pPr>
              <w:widowControl/>
              <w:textAlignment w:val="center"/>
              <w:rPr>
                <w:rFonts w:ascii="宋体" w:hAnsi="宋体"/>
                <w:szCs w:val="20"/>
              </w:rPr>
            </w:pPr>
            <w:r>
              <w:rPr>
                <w:rFonts w:hint="eastAsia" w:ascii="宋体" w:hAnsi="宋体"/>
                <w:szCs w:val="20"/>
              </w:rPr>
              <w:t>3）通讯链路：系统支持监控主机、交换机的网络设备，南向串口设备的通讯链路情况，直观显示各个设备的通讯状态。</w:t>
            </w:r>
          </w:p>
        </w:tc>
        <w:tc>
          <w:tcPr>
            <w:tcW w:w="922" w:type="dxa"/>
            <w:vAlign w:val="center"/>
          </w:tcPr>
          <w:p w14:paraId="4E96D28A">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0A634805">
            <w:pPr>
              <w:widowControl/>
              <w:spacing w:line="240" w:lineRule="auto"/>
              <w:jc w:val="center"/>
              <w:rPr>
                <w:rFonts w:ascii="宋体" w:hAnsi="宋体"/>
                <w:szCs w:val="20"/>
              </w:rPr>
            </w:pPr>
            <w:r>
              <w:rPr>
                <w:rFonts w:hint="eastAsia" w:ascii="宋体" w:hAnsi="宋体"/>
                <w:szCs w:val="20"/>
              </w:rPr>
              <w:t>套</w:t>
            </w:r>
          </w:p>
        </w:tc>
      </w:tr>
      <w:tr w14:paraId="27358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09AFFFB2">
            <w:pPr>
              <w:pStyle w:val="70"/>
              <w:widowControl/>
              <w:numPr>
                <w:ilvl w:val="0"/>
                <w:numId w:val="57"/>
              </w:numPr>
              <w:spacing w:line="240" w:lineRule="auto"/>
              <w:ind w:firstLineChars="0"/>
              <w:jc w:val="center"/>
              <w:rPr>
                <w:szCs w:val="20"/>
              </w:rPr>
            </w:pPr>
          </w:p>
        </w:tc>
        <w:tc>
          <w:tcPr>
            <w:tcW w:w="1989" w:type="dxa"/>
            <w:vAlign w:val="center"/>
          </w:tcPr>
          <w:p w14:paraId="2DBA5DD0">
            <w:pPr>
              <w:widowControl/>
              <w:jc w:val="left"/>
              <w:textAlignment w:val="center"/>
              <w:rPr>
                <w:rFonts w:ascii="宋体" w:hAnsi="宋体"/>
                <w:szCs w:val="20"/>
              </w:rPr>
            </w:pPr>
            <w:r>
              <w:rPr>
                <w:rFonts w:hint="eastAsia" w:ascii="宋体" w:hAnsi="宋体"/>
                <w:szCs w:val="20"/>
              </w:rPr>
              <w:t>运维管理功能</w:t>
            </w:r>
          </w:p>
        </w:tc>
        <w:tc>
          <w:tcPr>
            <w:tcW w:w="4367" w:type="dxa"/>
            <w:shd w:val="clear" w:color="auto" w:fill="auto"/>
            <w:vAlign w:val="center"/>
          </w:tcPr>
          <w:p w14:paraId="0F1113F9">
            <w:pPr>
              <w:widowControl/>
              <w:textAlignment w:val="center"/>
              <w:rPr>
                <w:rFonts w:ascii="宋体" w:hAnsi="宋体"/>
                <w:szCs w:val="20"/>
              </w:rPr>
            </w:pPr>
            <w:r>
              <w:rPr>
                <w:rFonts w:hint="eastAsia" w:ascii="宋体" w:hAnsi="宋体"/>
                <w:szCs w:val="20"/>
              </w:rPr>
              <w:t xml:space="preserve"> 1.系统根据项目需求配置完成后，提供“配置文件”，现场安装人员将配置文件导入一体化数据采集器即可完成配置。批量复制即可完成快速配置</w:t>
            </w:r>
          </w:p>
          <w:p w14:paraId="1000B773">
            <w:pPr>
              <w:widowControl/>
              <w:textAlignment w:val="center"/>
              <w:rPr>
                <w:rFonts w:ascii="宋体" w:hAnsi="宋体"/>
                <w:szCs w:val="20"/>
              </w:rPr>
            </w:pPr>
            <w:r>
              <w:rPr>
                <w:rFonts w:hint="eastAsia" w:ascii="宋体" w:hAnsi="宋体"/>
                <w:szCs w:val="20"/>
              </w:rPr>
              <w:t xml:space="preserve"> 2. 动环监控系统支持智能门楣控制，支持自定义上传LOGO，自定义设置欢迎词，定制不同主题页面。 </w:t>
            </w:r>
          </w:p>
          <w:p w14:paraId="40EC192A">
            <w:pPr>
              <w:widowControl/>
              <w:textAlignment w:val="center"/>
              <w:rPr>
                <w:rFonts w:ascii="宋体" w:hAnsi="宋体"/>
                <w:szCs w:val="20"/>
              </w:rPr>
            </w:pPr>
            <w:r>
              <w:rPr>
                <w:rFonts w:hint="eastAsia" w:ascii="宋体" w:hAnsi="宋体"/>
                <w:szCs w:val="20"/>
              </w:rPr>
              <w:t xml:space="preserve"> 3. 能耗管理功能：动环监控系统具备能耗数据分析功能，可实时显示PUE 值，支持按年月日进行电能统计，以图表、表格分析显示。</w:t>
            </w:r>
          </w:p>
          <w:p w14:paraId="47334A66">
            <w:pPr>
              <w:widowControl/>
              <w:textAlignment w:val="center"/>
              <w:rPr>
                <w:rFonts w:ascii="宋体" w:hAnsi="宋体"/>
                <w:szCs w:val="20"/>
              </w:rPr>
            </w:pPr>
            <w:r>
              <w:rPr>
                <w:rFonts w:hint="eastAsia" w:ascii="宋体" w:hAnsi="宋体"/>
                <w:szCs w:val="20"/>
              </w:rPr>
              <w:t xml:space="preserve"> 4. 动环监控系统支持配电系统主路、支路的电压、电流、开关状态等监测，并支持生成配电拓扑图，在拓扑图上显示各开关状态和电流信息；</w:t>
            </w:r>
          </w:p>
          <w:p w14:paraId="11AC1A57">
            <w:pPr>
              <w:widowControl/>
              <w:textAlignment w:val="center"/>
              <w:rPr>
                <w:rFonts w:ascii="宋体" w:hAnsi="宋体"/>
                <w:szCs w:val="20"/>
              </w:rPr>
            </w:pPr>
            <w:r>
              <w:rPr>
                <w:rFonts w:hint="eastAsia" w:ascii="宋体" w:hAnsi="宋体"/>
                <w:szCs w:val="20"/>
              </w:rPr>
              <w:t xml:space="preserve"> 5. 动环监控系统提供联动控制功能，联动控制逻辑可由用户灵活设置，如告警联动灯带变色、告警联动声光、消防联动开门，消防联动开天窗。</w:t>
            </w:r>
          </w:p>
        </w:tc>
        <w:tc>
          <w:tcPr>
            <w:tcW w:w="922" w:type="dxa"/>
            <w:vAlign w:val="center"/>
          </w:tcPr>
          <w:p w14:paraId="144C9EF0">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4A6EA89C">
            <w:pPr>
              <w:widowControl/>
              <w:spacing w:line="240" w:lineRule="auto"/>
              <w:jc w:val="center"/>
              <w:rPr>
                <w:rFonts w:ascii="宋体" w:hAnsi="宋体"/>
                <w:szCs w:val="20"/>
              </w:rPr>
            </w:pPr>
            <w:r>
              <w:rPr>
                <w:rFonts w:hint="eastAsia" w:ascii="宋体" w:hAnsi="宋体"/>
                <w:szCs w:val="20"/>
              </w:rPr>
              <w:t>套</w:t>
            </w:r>
          </w:p>
        </w:tc>
      </w:tr>
      <w:tr w14:paraId="3F670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33AE506B">
            <w:pPr>
              <w:pStyle w:val="70"/>
              <w:widowControl/>
              <w:numPr>
                <w:ilvl w:val="0"/>
                <w:numId w:val="57"/>
              </w:numPr>
              <w:spacing w:line="240" w:lineRule="auto"/>
              <w:ind w:firstLineChars="0"/>
              <w:jc w:val="center"/>
              <w:rPr>
                <w:szCs w:val="20"/>
              </w:rPr>
            </w:pPr>
          </w:p>
        </w:tc>
        <w:tc>
          <w:tcPr>
            <w:tcW w:w="1989" w:type="dxa"/>
            <w:vAlign w:val="center"/>
          </w:tcPr>
          <w:p w14:paraId="0615C046">
            <w:pPr>
              <w:widowControl/>
              <w:jc w:val="left"/>
              <w:textAlignment w:val="center"/>
              <w:rPr>
                <w:rFonts w:ascii="宋体" w:hAnsi="宋体"/>
                <w:szCs w:val="20"/>
              </w:rPr>
            </w:pPr>
            <w:r>
              <w:rPr>
                <w:rFonts w:hint="eastAsia" w:ascii="宋体" w:hAnsi="宋体"/>
                <w:szCs w:val="20"/>
              </w:rPr>
              <w:t>安防监控功能</w:t>
            </w:r>
          </w:p>
        </w:tc>
        <w:tc>
          <w:tcPr>
            <w:tcW w:w="4367" w:type="dxa"/>
            <w:shd w:val="clear" w:color="auto" w:fill="auto"/>
            <w:vAlign w:val="center"/>
          </w:tcPr>
          <w:p w14:paraId="01C82C18">
            <w:pPr>
              <w:widowControl/>
              <w:textAlignment w:val="center"/>
              <w:rPr>
                <w:rFonts w:ascii="宋体" w:hAnsi="宋体"/>
                <w:szCs w:val="20"/>
              </w:rPr>
            </w:pPr>
            <w:r>
              <w:rPr>
                <w:rFonts w:hint="eastAsia" w:ascii="宋体" w:hAnsi="宋体"/>
                <w:szCs w:val="20"/>
              </w:rPr>
              <w:t>1.门禁系统监控功能：动环监控系统具备监测机房门的进出记录和门禁状态，支持人脸、指纹、刷卡、密码等多种开门认证方式，支持集中发卡，支持单向或双向刷卡开门方式</w:t>
            </w:r>
          </w:p>
          <w:p w14:paraId="36BF90DD">
            <w:pPr>
              <w:widowControl/>
              <w:textAlignment w:val="center"/>
              <w:rPr>
                <w:rFonts w:ascii="宋体" w:hAnsi="宋体"/>
                <w:szCs w:val="20"/>
              </w:rPr>
            </w:pPr>
            <w:r>
              <w:rPr>
                <w:rFonts w:hint="eastAsia" w:ascii="宋体" w:hAnsi="宋体"/>
                <w:szCs w:val="20"/>
              </w:rPr>
              <w:t>2.视频系统监控功能：机房内安装有摄像头，可进行视频图像监视，动环监控系统集成视频录像查看功能。</w:t>
            </w:r>
          </w:p>
        </w:tc>
        <w:tc>
          <w:tcPr>
            <w:tcW w:w="922" w:type="dxa"/>
            <w:vAlign w:val="center"/>
          </w:tcPr>
          <w:p w14:paraId="3FCD461C">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008231F9">
            <w:pPr>
              <w:widowControl/>
              <w:spacing w:line="240" w:lineRule="auto"/>
              <w:jc w:val="center"/>
              <w:rPr>
                <w:rFonts w:ascii="宋体" w:hAnsi="宋体"/>
                <w:szCs w:val="20"/>
              </w:rPr>
            </w:pPr>
            <w:r>
              <w:rPr>
                <w:rFonts w:hint="eastAsia" w:ascii="宋体" w:hAnsi="宋体"/>
                <w:szCs w:val="20"/>
              </w:rPr>
              <w:t>套</w:t>
            </w:r>
          </w:p>
        </w:tc>
      </w:tr>
      <w:tr w14:paraId="16421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43A2D545">
            <w:pPr>
              <w:pStyle w:val="70"/>
              <w:widowControl/>
              <w:numPr>
                <w:ilvl w:val="0"/>
                <w:numId w:val="57"/>
              </w:numPr>
              <w:spacing w:line="240" w:lineRule="auto"/>
              <w:ind w:firstLineChars="0"/>
              <w:jc w:val="center"/>
              <w:rPr>
                <w:szCs w:val="20"/>
              </w:rPr>
            </w:pPr>
          </w:p>
        </w:tc>
        <w:tc>
          <w:tcPr>
            <w:tcW w:w="1989" w:type="dxa"/>
            <w:vAlign w:val="center"/>
          </w:tcPr>
          <w:p w14:paraId="31DAE8A8">
            <w:pPr>
              <w:widowControl/>
              <w:jc w:val="left"/>
              <w:textAlignment w:val="center"/>
              <w:rPr>
                <w:rFonts w:ascii="宋体" w:hAnsi="宋体"/>
                <w:szCs w:val="20"/>
              </w:rPr>
            </w:pPr>
            <w:r>
              <w:rPr>
                <w:rFonts w:hint="eastAsia" w:ascii="宋体" w:hAnsi="宋体"/>
                <w:szCs w:val="20"/>
              </w:rPr>
              <w:t>告警功能</w:t>
            </w:r>
          </w:p>
        </w:tc>
        <w:tc>
          <w:tcPr>
            <w:tcW w:w="4367" w:type="dxa"/>
            <w:shd w:val="clear" w:color="auto" w:fill="auto"/>
            <w:vAlign w:val="center"/>
          </w:tcPr>
          <w:p w14:paraId="6A61753F">
            <w:pPr>
              <w:widowControl/>
              <w:textAlignment w:val="center"/>
              <w:rPr>
                <w:rFonts w:ascii="宋体" w:hAnsi="宋体"/>
                <w:szCs w:val="20"/>
              </w:rPr>
            </w:pPr>
            <w:r>
              <w:rPr>
                <w:rFonts w:hint="eastAsia" w:ascii="宋体" w:hAnsi="宋体"/>
                <w:szCs w:val="20"/>
              </w:rPr>
              <w:t>1.告警定位功能：动环监控系统支持实时告警定位，可实现实时告警列表与微模块模型双向联动，快速引导用户定位告警所在位置。</w:t>
            </w:r>
          </w:p>
          <w:p w14:paraId="36845A03">
            <w:pPr>
              <w:widowControl/>
              <w:textAlignment w:val="center"/>
              <w:rPr>
                <w:rFonts w:ascii="宋体" w:hAnsi="宋体"/>
                <w:szCs w:val="20"/>
              </w:rPr>
            </w:pPr>
            <w:r>
              <w:rPr>
                <w:rFonts w:hint="eastAsia" w:ascii="宋体" w:hAnsi="宋体"/>
                <w:szCs w:val="20"/>
              </w:rPr>
              <w:t>2.告警设置：动环监控系统支持用户自定义设置阈值和告警条件，当有故障或参数异常，系统会实时告警；</w:t>
            </w:r>
          </w:p>
          <w:p w14:paraId="7859CD30">
            <w:pPr>
              <w:widowControl/>
              <w:textAlignment w:val="center"/>
              <w:rPr>
                <w:rFonts w:ascii="宋体" w:hAnsi="宋体"/>
                <w:szCs w:val="20"/>
              </w:rPr>
            </w:pPr>
            <w:r>
              <w:rPr>
                <w:rFonts w:hint="eastAsia" w:ascii="宋体" w:hAnsi="宋体"/>
                <w:szCs w:val="20"/>
              </w:rPr>
              <w:t>3.告警等级：告警级别可支持5个级别设置；含正常不告警的情况加告警级别四个。</w:t>
            </w:r>
          </w:p>
          <w:p w14:paraId="14786E27">
            <w:pPr>
              <w:widowControl/>
              <w:textAlignment w:val="center"/>
              <w:rPr>
                <w:rFonts w:ascii="宋体" w:hAnsi="宋体"/>
                <w:szCs w:val="20"/>
              </w:rPr>
            </w:pPr>
            <w:r>
              <w:rPr>
                <w:rFonts w:hint="eastAsia" w:ascii="宋体" w:hAnsi="宋体"/>
                <w:szCs w:val="20"/>
              </w:rPr>
              <w:t>4.告警通知：用户可自定义设置告警推送方式、推送人员、推送规则。支持短信告警、邮件告警、电话语音告警及声光告警方式，出现告警能快速通知用户。</w:t>
            </w:r>
          </w:p>
          <w:p w14:paraId="2CD4E300">
            <w:pPr>
              <w:widowControl/>
              <w:textAlignment w:val="center"/>
              <w:rPr>
                <w:rFonts w:ascii="宋体" w:hAnsi="宋体"/>
                <w:szCs w:val="20"/>
              </w:rPr>
            </w:pPr>
            <w:r>
              <w:rPr>
                <w:rFonts w:hint="eastAsia" w:ascii="宋体" w:hAnsi="宋体"/>
                <w:szCs w:val="20"/>
              </w:rPr>
              <w:t>5.测点告警功能：支持在设备详情页中自动高亮显示告警测点；</w:t>
            </w:r>
          </w:p>
          <w:p w14:paraId="6F756A66">
            <w:pPr>
              <w:widowControl/>
              <w:textAlignment w:val="center"/>
              <w:rPr>
                <w:rFonts w:ascii="宋体" w:hAnsi="宋体"/>
                <w:szCs w:val="20"/>
              </w:rPr>
            </w:pPr>
            <w:r>
              <w:rPr>
                <w:rFonts w:hint="eastAsia" w:ascii="宋体" w:hAnsi="宋体"/>
                <w:szCs w:val="20"/>
              </w:rPr>
              <w:t>6.语音告警功能：动环监控主机具有语音告警功能，当告警产生，由语音播报具体告警项，可通过一体化监控屏、远程WEB 网页进行播报。</w:t>
            </w:r>
          </w:p>
          <w:p w14:paraId="09893EDD">
            <w:pPr>
              <w:widowControl/>
              <w:textAlignment w:val="center"/>
              <w:rPr>
                <w:rFonts w:ascii="宋体" w:hAnsi="宋体"/>
                <w:szCs w:val="20"/>
              </w:rPr>
            </w:pPr>
            <w:r>
              <w:rPr>
                <w:rFonts w:hint="eastAsia" w:ascii="宋体" w:hAnsi="宋体"/>
                <w:szCs w:val="20"/>
              </w:rPr>
              <w:t>7.告警收敛功能：出现多种告警情况时，可快速定位主要故障点，并上报主要故障告警。</w:t>
            </w:r>
          </w:p>
        </w:tc>
        <w:tc>
          <w:tcPr>
            <w:tcW w:w="922" w:type="dxa"/>
            <w:vAlign w:val="center"/>
          </w:tcPr>
          <w:p w14:paraId="1219EA51">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14E39E07">
            <w:pPr>
              <w:widowControl/>
              <w:spacing w:line="240" w:lineRule="auto"/>
              <w:jc w:val="center"/>
              <w:rPr>
                <w:rFonts w:ascii="宋体" w:hAnsi="宋体"/>
                <w:szCs w:val="20"/>
              </w:rPr>
            </w:pPr>
            <w:r>
              <w:rPr>
                <w:rFonts w:hint="eastAsia" w:ascii="宋体" w:hAnsi="宋体"/>
                <w:szCs w:val="20"/>
              </w:rPr>
              <w:t>个</w:t>
            </w:r>
          </w:p>
        </w:tc>
      </w:tr>
      <w:tr w14:paraId="33807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129E1476">
            <w:pPr>
              <w:pStyle w:val="70"/>
              <w:widowControl/>
              <w:numPr>
                <w:ilvl w:val="0"/>
                <w:numId w:val="57"/>
              </w:numPr>
              <w:spacing w:line="240" w:lineRule="auto"/>
              <w:ind w:firstLineChars="0"/>
              <w:jc w:val="center"/>
              <w:rPr>
                <w:szCs w:val="20"/>
              </w:rPr>
            </w:pPr>
          </w:p>
        </w:tc>
        <w:tc>
          <w:tcPr>
            <w:tcW w:w="1989" w:type="dxa"/>
            <w:vAlign w:val="center"/>
          </w:tcPr>
          <w:p w14:paraId="687BD2B5">
            <w:pPr>
              <w:widowControl/>
              <w:jc w:val="center"/>
              <w:textAlignment w:val="center"/>
              <w:rPr>
                <w:rFonts w:ascii="宋体" w:hAnsi="宋体"/>
                <w:szCs w:val="20"/>
              </w:rPr>
            </w:pPr>
            <w:r>
              <w:rPr>
                <w:rFonts w:hint="eastAsia" w:ascii="宋体" w:hAnsi="宋体"/>
                <w:szCs w:val="20"/>
              </w:rPr>
              <w:t>网线</w:t>
            </w:r>
          </w:p>
        </w:tc>
        <w:tc>
          <w:tcPr>
            <w:tcW w:w="4367" w:type="dxa"/>
            <w:shd w:val="clear" w:color="auto" w:fill="auto"/>
            <w:vAlign w:val="center"/>
          </w:tcPr>
          <w:p w14:paraId="2EE37431">
            <w:pPr>
              <w:widowControl/>
              <w:textAlignment w:val="center"/>
              <w:rPr>
                <w:rFonts w:ascii="宋体" w:hAnsi="宋体"/>
                <w:szCs w:val="20"/>
              </w:rPr>
            </w:pPr>
            <w:r>
              <w:rPr>
                <w:rFonts w:hint="eastAsia" w:ascii="宋体" w:hAnsi="宋体"/>
                <w:szCs w:val="20"/>
              </w:rPr>
              <w:t>超5类</w:t>
            </w:r>
          </w:p>
        </w:tc>
        <w:tc>
          <w:tcPr>
            <w:tcW w:w="922" w:type="dxa"/>
            <w:vAlign w:val="center"/>
          </w:tcPr>
          <w:p w14:paraId="2901B0F5">
            <w:pPr>
              <w:widowControl/>
              <w:jc w:val="center"/>
              <w:textAlignment w:val="center"/>
              <w:rPr>
                <w:rFonts w:ascii="宋体" w:hAnsi="宋体"/>
                <w:szCs w:val="20"/>
              </w:rPr>
            </w:pPr>
            <w:r>
              <w:rPr>
                <w:rFonts w:hint="eastAsia" w:ascii="宋体" w:hAnsi="宋体"/>
                <w:szCs w:val="20"/>
              </w:rPr>
              <w:t>2</w:t>
            </w:r>
          </w:p>
        </w:tc>
        <w:tc>
          <w:tcPr>
            <w:tcW w:w="820" w:type="dxa"/>
            <w:vAlign w:val="center"/>
          </w:tcPr>
          <w:p w14:paraId="234DBB01">
            <w:pPr>
              <w:widowControl/>
              <w:spacing w:line="240" w:lineRule="auto"/>
              <w:jc w:val="center"/>
              <w:rPr>
                <w:rFonts w:ascii="宋体" w:hAnsi="宋体"/>
                <w:szCs w:val="20"/>
              </w:rPr>
            </w:pPr>
            <w:r>
              <w:rPr>
                <w:rFonts w:hint="eastAsia" w:ascii="宋体" w:hAnsi="宋体"/>
                <w:szCs w:val="20"/>
              </w:rPr>
              <w:t>箱</w:t>
            </w:r>
          </w:p>
        </w:tc>
      </w:tr>
      <w:tr w14:paraId="2D301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675D19E5">
            <w:pPr>
              <w:pStyle w:val="70"/>
              <w:widowControl/>
              <w:numPr>
                <w:ilvl w:val="0"/>
                <w:numId w:val="57"/>
              </w:numPr>
              <w:spacing w:line="240" w:lineRule="auto"/>
              <w:ind w:firstLineChars="0"/>
              <w:jc w:val="center"/>
              <w:rPr>
                <w:szCs w:val="20"/>
              </w:rPr>
            </w:pPr>
          </w:p>
        </w:tc>
        <w:tc>
          <w:tcPr>
            <w:tcW w:w="1989" w:type="dxa"/>
            <w:vAlign w:val="center"/>
          </w:tcPr>
          <w:p w14:paraId="1AC86FA4">
            <w:pPr>
              <w:widowControl/>
              <w:jc w:val="center"/>
              <w:textAlignment w:val="center"/>
              <w:rPr>
                <w:rFonts w:ascii="宋体" w:hAnsi="宋体"/>
                <w:szCs w:val="20"/>
              </w:rPr>
            </w:pPr>
            <w:r>
              <w:rPr>
                <w:rFonts w:hint="eastAsia" w:ascii="宋体" w:hAnsi="宋体"/>
                <w:szCs w:val="20"/>
              </w:rPr>
              <w:t>展示屏</w:t>
            </w:r>
          </w:p>
        </w:tc>
        <w:tc>
          <w:tcPr>
            <w:tcW w:w="4367" w:type="dxa"/>
            <w:shd w:val="clear" w:color="auto" w:fill="FFFFFF"/>
            <w:vAlign w:val="center"/>
          </w:tcPr>
          <w:p w14:paraId="2678B35B">
            <w:pPr>
              <w:widowControl/>
              <w:textAlignment w:val="center"/>
              <w:rPr>
                <w:rFonts w:ascii="宋体" w:hAnsi="宋体"/>
                <w:szCs w:val="20"/>
              </w:rPr>
            </w:pPr>
            <w:r>
              <w:rPr>
                <w:rFonts w:ascii="宋体" w:hAnsi="宋体"/>
                <w:szCs w:val="20"/>
              </w:rPr>
              <w:t>≥</w:t>
            </w:r>
            <w:r>
              <w:rPr>
                <w:rFonts w:hint="eastAsia" w:ascii="宋体" w:hAnsi="宋体"/>
                <w:szCs w:val="20"/>
              </w:rPr>
              <w:t>55寸含挂架</w:t>
            </w:r>
          </w:p>
        </w:tc>
        <w:tc>
          <w:tcPr>
            <w:tcW w:w="922" w:type="dxa"/>
            <w:vAlign w:val="center"/>
          </w:tcPr>
          <w:p w14:paraId="032497D8">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47CF01D7">
            <w:pPr>
              <w:widowControl/>
              <w:spacing w:line="240" w:lineRule="auto"/>
              <w:jc w:val="center"/>
              <w:rPr>
                <w:rFonts w:ascii="宋体" w:hAnsi="宋体"/>
                <w:szCs w:val="20"/>
              </w:rPr>
            </w:pPr>
            <w:r>
              <w:rPr>
                <w:rFonts w:hint="eastAsia" w:ascii="宋体" w:hAnsi="宋体"/>
                <w:szCs w:val="20"/>
              </w:rPr>
              <w:t>台</w:t>
            </w:r>
          </w:p>
        </w:tc>
      </w:tr>
      <w:tr w14:paraId="0C701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04443162">
            <w:pPr>
              <w:pStyle w:val="70"/>
              <w:widowControl/>
              <w:numPr>
                <w:ilvl w:val="0"/>
                <w:numId w:val="57"/>
              </w:numPr>
              <w:spacing w:line="240" w:lineRule="auto"/>
              <w:ind w:firstLineChars="0"/>
              <w:jc w:val="center"/>
              <w:rPr>
                <w:szCs w:val="20"/>
              </w:rPr>
            </w:pPr>
          </w:p>
        </w:tc>
        <w:tc>
          <w:tcPr>
            <w:tcW w:w="1989" w:type="dxa"/>
            <w:vAlign w:val="center"/>
          </w:tcPr>
          <w:p w14:paraId="67BDB83B">
            <w:pPr>
              <w:widowControl/>
              <w:jc w:val="center"/>
              <w:textAlignment w:val="center"/>
              <w:rPr>
                <w:rFonts w:ascii="宋体" w:hAnsi="宋体"/>
                <w:szCs w:val="20"/>
              </w:rPr>
            </w:pPr>
            <w:r>
              <w:rPr>
                <w:rFonts w:hint="eastAsia" w:ascii="宋体" w:hAnsi="宋体"/>
                <w:szCs w:val="20"/>
              </w:rPr>
              <w:t>风冷直膨式精密空调机组</w:t>
            </w:r>
          </w:p>
        </w:tc>
        <w:tc>
          <w:tcPr>
            <w:tcW w:w="4367" w:type="dxa"/>
            <w:shd w:val="clear" w:color="auto" w:fill="auto"/>
            <w:vAlign w:val="center"/>
          </w:tcPr>
          <w:p w14:paraId="5E5CA696">
            <w:pPr>
              <w:widowControl/>
              <w:textAlignment w:val="center"/>
              <w:rPr>
                <w:rFonts w:ascii="宋体" w:hAnsi="宋体"/>
                <w:szCs w:val="20"/>
              </w:rPr>
            </w:pPr>
            <w:r>
              <w:rPr>
                <w:rFonts w:hint="eastAsia" w:ascii="宋体" w:hAnsi="宋体"/>
                <w:szCs w:val="20"/>
              </w:rPr>
              <w:t>1.最大制冷量：≥20.5 kw，制冷量调节范围30%~100%，风量（m3/h）≥5300，恒温恒湿，加热量≥3KW，加湿量3KG/H，上前送风，投标机房专用空调的制冷量应不低于上表对应招标空调设备的制冷量。</w:t>
            </w:r>
          </w:p>
          <w:p w14:paraId="31567FD0">
            <w:pPr>
              <w:widowControl/>
              <w:textAlignment w:val="center"/>
              <w:rPr>
                <w:rFonts w:ascii="宋体" w:hAnsi="宋体"/>
                <w:szCs w:val="20"/>
              </w:rPr>
            </w:pPr>
            <w:r>
              <w:rPr>
                <w:rFonts w:hint="eastAsia" w:ascii="宋体" w:hAnsi="宋体"/>
                <w:szCs w:val="20"/>
              </w:rPr>
              <w:t>2.全年能效比（AEER）≥4.0</w:t>
            </w:r>
          </w:p>
          <w:p w14:paraId="14E99586">
            <w:pPr>
              <w:widowControl/>
              <w:textAlignment w:val="center"/>
              <w:rPr>
                <w:rFonts w:ascii="宋体" w:hAnsi="宋体"/>
                <w:szCs w:val="20"/>
              </w:rPr>
            </w:pPr>
            <w:r>
              <w:rPr>
                <w:rFonts w:hint="eastAsia" w:ascii="宋体" w:hAnsi="宋体"/>
                <w:szCs w:val="20"/>
              </w:rPr>
              <w:t>3.机房专用空调应能按要求自动调节室内温度，具有制冷、加热、加湿、除湿等功能。</w:t>
            </w:r>
          </w:p>
          <w:p w14:paraId="2FDB9B67">
            <w:pPr>
              <w:widowControl/>
              <w:textAlignment w:val="center"/>
              <w:rPr>
                <w:rFonts w:ascii="宋体" w:hAnsi="宋体"/>
                <w:szCs w:val="20"/>
              </w:rPr>
            </w:pPr>
            <w:r>
              <w:rPr>
                <w:rFonts w:hint="eastAsia" w:ascii="宋体" w:hAnsi="宋体"/>
                <w:szCs w:val="20"/>
              </w:rPr>
              <w:t>4.温度调节范围：+20℃到+30℃</w:t>
            </w:r>
          </w:p>
          <w:p w14:paraId="7D458F51">
            <w:pPr>
              <w:widowControl/>
              <w:textAlignment w:val="center"/>
              <w:rPr>
                <w:rFonts w:ascii="宋体" w:hAnsi="宋体"/>
                <w:szCs w:val="20"/>
              </w:rPr>
            </w:pPr>
            <w:r>
              <w:rPr>
                <w:rFonts w:hint="eastAsia" w:ascii="宋体" w:hAnsi="宋体"/>
                <w:szCs w:val="20"/>
              </w:rPr>
              <w:t>5.相对湿度控制精度：空调器在正常使用条件下，室内相对湿度控制范围30%～70%，控制精度应可达到设定点±5%。</w:t>
            </w:r>
          </w:p>
          <w:p w14:paraId="657F6747">
            <w:pPr>
              <w:widowControl/>
              <w:textAlignment w:val="center"/>
              <w:rPr>
                <w:rFonts w:ascii="宋体" w:hAnsi="宋体"/>
                <w:szCs w:val="20"/>
              </w:rPr>
            </w:pPr>
            <w:r>
              <w:rPr>
                <w:rFonts w:hint="eastAsia" w:ascii="宋体" w:hAnsi="宋体"/>
                <w:szCs w:val="20"/>
              </w:rPr>
              <w:t>6.温度调节精度：2℃ 温度变化率&lt; 5℃/小时，温湿度波动超限应能发出报警信号。</w:t>
            </w:r>
          </w:p>
          <w:p w14:paraId="6E89C120">
            <w:pPr>
              <w:widowControl/>
              <w:textAlignment w:val="center"/>
              <w:rPr>
                <w:rFonts w:ascii="宋体" w:hAnsi="宋体"/>
                <w:szCs w:val="20"/>
              </w:rPr>
            </w:pPr>
            <w:r>
              <w:rPr>
                <w:rFonts w:hint="eastAsia" w:ascii="宋体" w:hAnsi="宋体"/>
                <w:szCs w:val="20"/>
              </w:rPr>
              <w:t>7.空调应配置7英寸及以上全中文彩色触摸屏显示器，能按照设定的温度要求进行自动调节，显示工作状态及送风温度、回风温湿度变化曲线、吸气温度、排气温度、EEV调节范围、风机输出、低压压力、高压压力、EEV过热度、排气过热度、压缩机输出等运行状态显示，（需提供证明材料）。并能储存并显示不少于500条历史告警信息。</w:t>
            </w:r>
          </w:p>
          <w:p w14:paraId="158BD2B9">
            <w:pPr>
              <w:widowControl/>
              <w:textAlignment w:val="center"/>
              <w:rPr>
                <w:rFonts w:ascii="宋体" w:hAnsi="宋体"/>
                <w:szCs w:val="20"/>
              </w:rPr>
            </w:pPr>
            <w:r>
              <w:rPr>
                <w:rFonts w:hint="eastAsia" w:ascii="宋体" w:hAnsi="宋体"/>
                <w:szCs w:val="20"/>
              </w:rPr>
              <w:t xml:space="preserve">8.空调应能查看机组制冷因子（CLF）数据和碳排放累计数据功能，（需提供证明材料）。 </w:t>
            </w:r>
          </w:p>
          <w:p w14:paraId="296093DF">
            <w:pPr>
              <w:widowControl/>
              <w:textAlignment w:val="center"/>
              <w:rPr>
                <w:rFonts w:ascii="宋体" w:hAnsi="宋体"/>
                <w:szCs w:val="20"/>
              </w:rPr>
            </w:pPr>
            <w:r>
              <w:rPr>
                <w:rFonts w:hint="eastAsia" w:ascii="宋体" w:hAnsi="宋体"/>
                <w:szCs w:val="20"/>
              </w:rPr>
              <w:t>9.机组应具备轻载除湿功能，避免低负载高湿环境设备凝露。</w:t>
            </w:r>
          </w:p>
          <w:p w14:paraId="71B63912">
            <w:pPr>
              <w:widowControl/>
              <w:textAlignment w:val="center"/>
              <w:rPr>
                <w:rFonts w:ascii="宋体" w:hAnsi="宋体"/>
                <w:szCs w:val="20"/>
              </w:rPr>
            </w:pPr>
            <w:r>
              <w:rPr>
                <w:rFonts w:hint="eastAsia" w:ascii="宋体" w:hAnsi="宋体"/>
                <w:szCs w:val="20"/>
              </w:rPr>
              <w:t>10.机组应具有制冷剂不足预警功能，防止泄露造成机组故障，影响运行。</w:t>
            </w:r>
          </w:p>
          <w:p w14:paraId="7A5C683F">
            <w:pPr>
              <w:widowControl/>
              <w:textAlignment w:val="center"/>
              <w:rPr>
                <w:rFonts w:ascii="宋体" w:hAnsi="宋体"/>
                <w:szCs w:val="20"/>
              </w:rPr>
            </w:pPr>
            <w:r>
              <w:rPr>
                <w:rFonts w:hint="eastAsia" w:ascii="宋体" w:hAnsi="宋体"/>
                <w:szCs w:val="20"/>
              </w:rPr>
              <w:t>11.机房空调采用高效换热的铜管铝翅片“/”型蒸发器。</w:t>
            </w:r>
          </w:p>
          <w:p w14:paraId="419EB4C1">
            <w:pPr>
              <w:widowControl/>
              <w:textAlignment w:val="center"/>
              <w:rPr>
                <w:rFonts w:ascii="宋体" w:hAnsi="宋体"/>
                <w:szCs w:val="20"/>
              </w:rPr>
            </w:pPr>
            <w:r>
              <w:rPr>
                <w:rFonts w:hint="eastAsia" w:ascii="宋体" w:hAnsi="宋体"/>
                <w:szCs w:val="20"/>
              </w:rPr>
              <w:t>12.压缩机必须采用高效可靠的压缩机，压缩机需设置于空调室内机内部。机组应采用直流变频全封闭压缩机，可根据负载动态调节转速，并在机组显示屏显示压缩机工作状态，如实际转速、设定转速、压缩机实际输出百分比等，（需提供证明材料）。</w:t>
            </w:r>
          </w:p>
          <w:p w14:paraId="0CCAFB59">
            <w:pPr>
              <w:widowControl/>
              <w:textAlignment w:val="center"/>
              <w:rPr>
                <w:rFonts w:ascii="宋体" w:hAnsi="宋体"/>
                <w:szCs w:val="20"/>
              </w:rPr>
            </w:pPr>
            <w:r>
              <w:rPr>
                <w:rFonts w:hint="eastAsia" w:ascii="宋体" w:hAnsi="宋体"/>
                <w:szCs w:val="20"/>
              </w:rPr>
              <w:t>13.空调机组的室内风机系统应采用EC风机，EC风机可现场通过控制系统进行调速，调节送风压头和风量。推荐采用大风量高效后倾离心直联风机。不接受皮带驱动方式风机。</w:t>
            </w:r>
          </w:p>
          <w:p w14:paraId="512BE635">
            <w:pPr>
              <w:widowControl/>
              <w:textAlignment w:val="center"/>
              <w:rPr>
                <w:rFonts w:ascii="宋体" w:hAnsi="宋体"/>
                <w:szCs w:val="20"/>
              </w:rPr>
            </w:pPr>
            <w:r>
              <w:rPr>
                <w:rFonts w:hint="eastAsia" w:ascii="宋体" w:hAnsi="宋体"/>
                <w:szCs w:val="20"/>
              </w:rPr>
              <w:t>14.电子膨胀阀:为保证制冷剂节流装置的精确性、可靠性、节能性，应采用电子膨胀阀。</w:t>
            </w:r>
          </w:p>
          <w:p w14:paraId="759923AF">
            <w:pPr>
              <w:widowControl/>
              <w:textAlignment w:val="center"/>
              <w:rPr>
                <w:rFonts w:ascii="宋体" w:hAnsi="宋体"/>
                <w:szCs w:val="20"/>
              </w:rPr>
            </w:pPr>
            <w:r>
              <w:rPr>
                <w:rFonts w:hint="eastAsia" w:ascii="宋体" w:hAnsi="宋体"/>
                <w:szCs w:val="20"/>
              </w:rPr>
              <w:t>15.机房专用空调系统应具有高可靠性，满足全年365天，每天24小时不间断运行</w:t>
            </w:r>
          </w:p>
          <w:p w14:paraId="1F8A926F">
            <w:pPr>
              <w:widowControl/>
              <w:textAlignment w:val="center"/>
              <w:rPr>
                <w:rFonts w:ascii="宋体" w:hAnsi="宋体"/>
                <w:szCs w:val="20"/>
              </w:rPr>
            </w:pPr>
            <w:r>
              <w:rPr>
                <w:rFonts w:hint="eastAsia" w:ascii="宋体" w:hAnsi="宋体"/>
                <w:szCs w:val="20"/>
              </w:rPr>
              <w:t>16.空调应具备安装灵活特点，可背面或两侧靠墙摆放于地面或墙角。</w:t>
            </w:r>
          </w:p>
          <w:p w14:paraId="2F85076D">
            <w:pPr>
              <w:widowControl/>
              <w:textAlignment w:val="center"/>
              <w:rPr>
                <w:rFonts w:ascii="宋体" w:hAnsi="宋体"/>
                <w:szCs w:val="20"/>
              </w:rPr>
            </w:pPr>
            <w:r>
              <w:rPr>
                <w:rFonts w:hint="eastAsia" w:ascii="宋体" w:hAnsi="宋体"/>
                <w:szCs w:val="20"/>
              </w:rPr>
              <w:t>17.空调应具备来电自启动功能，满足机房无人值守的要求。</w:t>
            </w:r>
          </w:p>
          <w:p w14:paraId="1E8A4050">
            <w:pPr>
              <w:widowControl/>
              <w:textAlignment w:val="center"/>
              <w:rPr>
                <w:rFonts w:ascii="宋体" w:hAnsi="宋体"/>
                <w:szCs w:val="20"/>
              </w:rPr>
            </w:pPr>
            <w:r>
              <w:rPr>
                <w:rFonts w:hint="eastAsia" w:ascii="宋体" w:hAnsi="宋体"/>
                <w:szCs w:val="20"/>
              </w:rPr>
              <w:t>18.机房专用空调的空气洁净度：</w:t>
            </w:r>
          </w:p>
          <w:p w14:paraId="3167E73F">
            <w:pPr>
              <w:widowControl/>
              <w:textAlignment w:val="center"/>
              <w:rPr>
                <w:rFonts w:ascii="宋体" w:hAnsi="宋体"/>
                <w:szCs w:val="20"/>
              </w:rPr>
            </w:pPr>
            <w:r>
              <w:rPr>
                <w:rFonts w:hint="eastAsia" w:ascii="宋体" w:hAnsi="宋体"/>
                <w:szCs w:val="20"/>
              </w:rPr>
              <w:t>应安装具有高过滤能力的空气过滤器，空气过滤器应便于更换。</w:t>
            </w:r>
          </w:p>
          <w:p w14:paraId="17EB4E3B">
            <w:pPr>
              <w:widowControl/>
              <w:textAlignment w:val="center"/>
              <w:rPr>
                <w:rFonts w:ascii="宋体" w:hAnsi="宋体"/>
                <w:szCs w:val="20"/>
              </w:rPr>
            </w:pPr>
            <w:r>
              <w:rPr>
                <w:rFonts w:hint="eastAsia" w:ascii="宋体" w:hAnsi="宋体"/>
                <w:szCs w:val="20"/>
              </w:rPr>
              <w:t>19.投标机组应采用符合国家CCC认证要求，采用远红外加湿器，可适应任何水质，同时采用不锈钢材质接水盘，（加湿器需提供证明文件）。</w:t>
            </w:r>
          </w:p>
          <w:p w14:paraId="5A9377FE">
            <w:pPr>
              <w:widowControl/>
              <w:textAlignment w:val="center"/>
              <w:rPr>
                <w:rFonts w:ascii="宋体" w:hAnsi="宋体"/>
                <w:szCs w:val="20"/>
              </w:rPr>
            </w:pPr>
            <w:r>
              <w:rPr>
                <w:rFonts w:hint="eastAsia" w:ascii="宋体" w:hAnsi="宋体"/>
                <w:szCs w:val="20"/>
              </w:rPr>
              <w:t>20.投标产品应采用正温度系数的PTC陶瓷套铝翅片电加热器。</w:t>
            </w:r>
          </w:p>
        </w:tc>
        <w:tc>
          <w:tcPr>
            <w:tcW w:w="922" w:type="dxa"/>
            <w:vAlign w:val="center"/>
          </w:tcPr>
          <w:p w14:paraId="6D3FBCDD">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44474594">
            <w:pPr>
              <w:widowControl/>
              <w:spacing w:line="240" w:lineRule="auto"/>
              <w:jc w:val="center"/>
              <w:rPr>
                <w:rFonts w:ascii="宋体" w:hAnsi="宋体"/>
                <w:szCs w:val="20"/>
              </w:rPr>
            </w:pPr>
            <w:r>
              <w:rPr>
                <w:rFonts w:hint="eastAsia" w:ascii="宋体" w:hAnsi="宋体"/>
                <w:szCs w:val="20"/>
              </w:rPr>
              <w:t>套</w:t>
            </w:r>
          </w:p>
        </w:tc>
      </w:tr>
      <w:tr w14:paraId="74AFF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5C58254A">
            <w:pPr>
              <w:pStyle w:val="70"/>
              <w:widowControl/>
              <w:numPr>
                <w:ilvl w:val="0"/>
                <w:numId w:val="57"/>
              </w:numPr>
              <w:spacing w:line="240" w:lineRule="auto"/>
              <w:ind w:firstLineChars="0"/>
              <w:jc w:val="center"/>
              <w:rPr>
                <w:szCs w:val="20"/>
              </w:rPr>
            </w:pPr>
          </w:p>
        </w:tc>
        <w:tc>
          <w:tcPr>
            <w:tcW w:w="1989" w:type="dxa"/>
            <w:vAlign w:val="center"/>
          </w:tcPr>
          <w:p w14:paraId="61104DC5">
            <w:pPr>
              <w:widowControl/>
              <w:jc w:val="center"/>
              <w:textAlignment w:val="center"/>
              <w:rPr>
                <w:rFonts w:ascii="宋体" w:hAnsi="宋体"/>
                <w:szCs w:val="20"/>
              </w:rPr>
            </w:pPr>
            <w:r>
              <w:rPr>
                <w:rFonts w:hint="eastAsia" w:ascii="宋体" w:hAnsi="宋体"/>
                <w:szCs w:val="20"/>
              </w:rPr>
              <w:t>机房备用空调</w:t>
            </w:r>
          </w:p>
        </w:tc>
        <w:tc>
          <w:tcPr>
            <w:tcW w:w="4367" w:type="dxa"/>
            <w:shd w:val="clear" w:color="auto" w:fill="auto"/>
            <w:vAlign w:val="center"/>
          </w:tcPr>
          <w:p w14:paraId="7F62D892">
            <w:pPr>
              <w:widowControl/>
              <w:jc w:val="left"/>
              <w:textAlignment w:val="center"/>
              <w:rPr>
                <w:rFonts w:ascii="宋体" w:hAnsi="宋体"/>
                <w:szCs w:val="20"/>
              </w:rPr>
            </w:pPr>
            <w:r>
              <w:rPr>
                <w:rFonts w:hint="eastAsia" w:ascii="宋体" w:hAnsi="宋体"/>
                <w:szCs w:val="20"/>
              </w:rPr>
              <w:t>1.制冷量≥12.5kW,风量≥3000m3/h,单冷,上前送风,投标机房专用空调的制冷量不得低于上表对应招标空调设备的制冷量</w:t>
            </w:r>
          </w:p>
          <w:p w14:paraId="7312967D">
            <w:pPr>
              <w:widowControl/>
              <w:jc w:val="left"/>
              <w:textAlignment w:val="center"/>
              <w:rPr>
                <w:rFonts w:ascii="宋体" w:hAnsi="宋体"/>
                <w:szCs w:val="20"/>
              </w:rPr>
            </w:pPr>
            <w:r>
              <w:rPr>
                <w:rFonts w:hint="eastAsia" w:ascii="宋体" w:hAnsi="宋体"/>
                <w:szCs w:val="20"/>
              </w:rPr>
              <w:t>2.机房空调采用高效换热“/”型蒸发器盘管。</w:t>
            </w:r>
          </w:p>
          <w:p w14:paraId="06BA29BC">
            <w:pPr>
              <w:widowControl/>
              <w:jc w:val="left"/>
              <w:textAlignment w:val="center"/>
              <w:rPr>
                <w:rFonts w:ascii="宋体" w:hAnsi="宋体"/>
                <w:szCs w:val="20"/>
              </w:rPr>
            </w:pPr>
            <w:r>
              <w:rPr>
                <w:rFonts w:hint="eastAsia" w:ascii="宋体" w:hAnsi="宋体"/>
                <w:szCs w:val="20"/>
              </w:rPr>
              <w:t>3.机房专用空调应具有高效节能性，要求投标产品全年能效比（AEER）≥4.0</w:t>
            </w:r>
          </w:p>
          <w:p w14:paraId="7B4377F7">
            <w:pPr>
              <w:widowControl/>
              <w:jc w:val="left"/>
              <w:textAlignment w:val="center"/>
              <w:rPr>
                <w:rFonts w:ascii="宋体" w:hAnsi="宋体"/>
                <w:szCs w:val="20"/>
              </w:rPr>
            </w:pPr>
            <w:r>
              <w:rPr>
                <w:rFonts w:hint="eastAsia" w:ascii="宋体" w:hAnsi="宋体"/>
                <w:szCs w:val="20"/>
              </w:rPr>
              <w:t>4.压缩机必须采用高效可靠的压缩机，必须为知名品牌压缩机,压缩机必须位于室内机。</w:t>
            </w:r>
          </w:p>
          <w:p w14:paraId="40E2A15C">
            <w:pPr>
              <w:widowControl/>
              <w:jc w:val="left"/>
              <w:textAlignment w:val="center"/>
              <w:rPr>
                <w:rFonts w:ascii="宋体" w:hAnsi="宋体"/>
                <w:szCs w:val="20"/>
              </w:rPr>
            </w:pPr>
            <w:r>
              <w:rPr>
                <w:rFonts w:hint="eastAsia" w:ascii="宋体" w:hAnsi="宋体"/>
                <w:szCs w:val="20"/>
              </w:rPr>
              <w:t>5.室内风机叶片应为高效大风量后倾式离心风机，不接受蜗壳式或其他类型风机形式。</w:t>
            </w:r>
          </w:p>
          <w:p w14:paraId="1E0106E7">
            <w:pPr>
              <w:widowControl/>
              <w:jc w:val="left"/>
              <w:textAlignment w:val="center"/>
              <w:rPr>
                <w:rFonts w:ascii="宋体" w:hAnsi="宋体"/>
                <w:szCs w:val="20"/>
              </w:rPr>
            </w:pPr>
            <w:r>
              <w:rPr>
                <w:rFonts w:hint="eastAsia" w:ascii="宋体" w:hAnsi="宋体"/>
                <w:szCs w:val="20"/>
              </w:rPr>
              <w:t>6.机房专用空调系统应具有高可靠性，满足全年365天，每天24小时不间断运行</w:t>
            </w:r>
          </w:p>
          <w:p w14:paraId="4E3C1347">
            <w:pPr>
              <w:widowControl/>
              <w:jc w:val="left"/>
              <w:textAlignment w:val="center"/>
              <w:rPr>
                <w:rFonts w:ascii="宋体" w:hAnsi="宋体"/>
                <w:szCs w:val="20"/>
              </w:rPr>
            </w:pPr>
            <w:r>
              <w:rPr>
                <w:rFonts w:hint="eastAsia" w:ascii="宋体" w:hAnsi="宋体"/>
                <w:szCs w:val="20"/>
              </w:rPr>
              <w:t>7.空调应具备安装灵活特点，可背面或两侧靠墙摆放于地面或墙角。</w:t>
            </w:r>
          </w:p>
          <w:p w14:paraId="02853B88">
            <w:pPr>
              <w:widowControl/>
              <w:jc w:val="left"/>
              <w:textAlignment w:val="center"/>
              <w:rPr>
                <w:rFonts w:ascii="宋体" w:hAnsi="宋体"/>
                <w:szCs w:val="20"/>
              </w:rPr>
            </w:pPr>
            <w:r>
              <w:rPr>
                <w:rFonts w:hint="eastAsia" w:ascii="宋体" w:hAnsi="宋体"/>
                <w:szCs w:val="20"/>
              </w:rPr>
              <w:t>8.空调应具备来电自启动功能，满足机房无人值守的要求。</w:t>
            </w:r>
          </w:p>
          <w:p w14:paraId="454B2B03">
            <w:pPr>
              <w:widowControl/>
              <w:jc w:val="left"/>
              <w:textAlignment w:val="center"/>
              <w:rPr>
                <w:rFonts w:ascii="宋体" w:hAnsi="宋体"/>
                <w:szCs w:val="20"/>
              </w:rPr>
            </w:pPr>
            <w:r>
              <w:rPr>
                <w:rFonts w:hint="eastAsia" w:ascii="宋体" w:hAnsi="宋体"/>
                <w:szCs w:val="20"/>
              </w:rPr>
              <w:t>9.机房专用空调的空气洁净度：</w:t>
            </w:r>
          </w:p>
          <w:p w14:paraId="1E95F098">
            <w:pPr>
              <w:widowControl/>
              <w:jc w:val="left"/>
              <w:textAlignment w:val="center"/>
              <w:rPr>
                <w:rFonts w:ascii="宋体" w:hAnsi="宋体"/>
                <w:szCs w:val="20"/>
              </w:rPr>
            </w:pPr>
            <w:r>
              <w:rPr>
                <w:rFonts w:hint="eastAsia" w:ascii="宋体" w:hAnsi="宋体"/>
                <w:szCs w:val="20"/>
              </w:rPr>
              <w:t>应安装具有高过滤能力的空气过滤器，空气过滤器应便于更换。</w:t>
            </w:r>
          </w:p>
          <w:p w14:paraId="78D7BF37">
            <w:pPr>
              <w:widowControl/>
              <w:jc w:val="left"/>
              <w:textAlignment w:val="center"/>
              <w:rPr>
                <w:rFonts w:ascii="宋体" w:hAnsi="宋体"/>
                <w:szCs w:val="20"/>
              </w:rPr>
            </w:pPr>
            <w:r>
              <w:rPr>
                <w:rFonts w:hint="eastAsia" w:ascii="宋体" w:hAnsi="宋体"/>
                <w:szCs w:val="20"/>
              </w:rPr>
              <w:t>10.室内机尺寸（宽x深x高mm） 占地面积（㎡）</w:t>
            </w:r>
          </w:p>
          <w:p w14:paraId="0F692BAD">
            <w:pPr>
              <w:widowControl/>
              <w:jc w:val="left"/>
              <w:textAlignment w:val="center"/>
              <w:rPr>
                <w:rFonts w:ascii="宋体" w:hAnsi="宋体"/>
                <w:szCs w:val="20"/>
              </w:rPr>
            </w:pPr>
            <w:r>
              <w:rPr>
                <w:rFonts w:hint="eastAsia" w:ascii="宋体" w:hAnsi="宋体"/>
                <w:szCs w:val="20"/>
              </w:rPr>
              <w:t>650x550x1900 ≤0.34</w:t>
            </w:r>
          </w:p>
        </w:tc>
        <w:tc>
          <w:tcPr>
            <w:tcW w:w="922" w:type="dxa"/>
            <w:vAlign w:val="center"/>
          </w:tcPr>
          <w:p w14:paraId="6B142E9D">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75012509">
            <w:pPr>
              <w:widowControl/>
              <w:spacing w:line="240" w:lineRule="auto"/>
              <w:jc w:val="center"/>
              <w:rPr>
                <w:rFonts w:ascii="宋体" w:hAnsi="宋体"/>
                <w:szCs w:val="20"/>
              </w:rPr>
            </w:pPr>
            <w:r>
              <w:rPr>
                <w:rFonts w:hint="eastAsia" w:ascii="宋体" w:hAnsi="宋体"/>
                <w:szCs w:val="20"/>
              </w:rPr>
              <w:t>套</w:t>
            </w:r>
          </w:p>
        </w:tc>
      </w:tr>
      <w:tr w14:paraId="79A23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3D652D3B">
            <w:pPr>
              <w:pStyle w:val="70"/>
              <w:widowControl/>
              <w:numPr>
                <w:ilvl w:val="0"/>
                <w:numId w:val="57"/>
              </w:numPr>
              <w:spacing w:line="240" w:lineRule="auto"/>
              <w:ind w:firstLineChars="0"/>
              <w:jc w:val="center"/>
              <w:rPr>
                <w:szCs w:val="20"/>
              </w:rPr>
            </w:pPr>
          </w:p>
        </w:tc>
        <w:tc>
          <w:tcPr>
            <w:tcW w:w="1989" w:type="dxa"/>
            <w:vAlign w:val="center"/>
          </w:tcPr>
          <w:p w14:paraId="20816AA7">
            <w:pPr>
              <w:widowControl/>
              <w:jc w:val="center"/>
              <w:textAlignment w:val="center"/>
              <w:rPr>
                <w:rFonts w:ascii="宋体" w:hAnsi="宋体"/>
                <w:szCs w:val="20"/>
              </w:rPr>
            </w:pPr>
            <w:r>
              <w:rPr>
                <w:rFonts w:hint="eastAsia" w:ascii="宋体" w:hAnsi="宋体"/>
                <w:szCs w:val="20"/>
              </w:rPr>
              <w:t>UPS室空调</w:t>
            </w:r>
          </w:p>
        </w:tc>
        <w:tc>
          <w:tcPr>
            <w:tcW w:w="4367" w:type="dxa"/>
            <w:shd w:val="clear" w:color="auto" w:fill="auto"/>
            <w:vAlign w:val="center"/>
          </w:tcPr>
          <w:p w14:paraId="6D4D3786">
            <w:pPr>
              <w:widowControl/>
              <w:jc w:val="left"/>
              <w:textAlignment w:val="center"/>
              <w:rPr>
                <w:rFonts w:ascii="宋体" w:hAnsi="宋体"/>
                <w:szCs w:val="20"/>
              </w:rPr>
            </w:pPr>
            <w:r>
              <w:rPr>
                <w:rFonts w:hint="eastAsia" w:ascii="宋体" w:hAnsi="宋体"/>
                <w:szCs w:val="20"/>
              </w:rPr>
              <w:t>1.制冷量≥7.5kW,风量≥2300m3/h,单冷,上前送风,投标机房专用空调的制冷量不得低于上表对应招标空调设备的制冷量.</w:t>
            </w:r>
          </w:p>
          <w:p w14:paraId="2C32ACC2">
            <w:pPr>
              <w:widowControl/>
              <w:jc w:val="left"/>
              <w:textAlignment w:val="center"/>
              <w:rPr>
                <w:rFonts w:ascii="宋体" w:hAnsi="宋体"/>
                <w:szCs w:val="20"/>
              </w:rPr>
            </w:pPr>
            <w:r>
              <w:rPr>
                <w:rFonts w:hint="eastAsia" w:ascii="宋体" w:hAnsi="宋体"/>
                <w:szCs w:val="20"/>
              </w:rPr>
              <w:t>2.机房专用空调应能按要求自动调节室内温度，具有制冷、加热功能。</w:t>
            </w:r>
          </w:p>
          <w:p w14:paraId="6CF337C3">
            <w:pPr>
              <w:widowControl/>
              <w:jc w:val="left"/>
              <w:textAlignment w:val="center"/>
              <w:rPr>
                <w:rFonts w:ascii="宋体" w:hAnsi="宋体"/>
                <w:szCs w:val="20"/>
              </w:rPr>
            </w:pPr>
            <w:r>
              <w:rPr>
                <w:rFonts w:hint="eastAsia" w:ascii="宋体" w:hAnsi="宋体"/>
                <w:szCs w:val="20"/>
              </w:rPr>
              <w:t>3.温度调节范围：+20℃ 到 +30℃</w:t>
            </w:r>
          </w:p>
          <w:p w14:paraId="3107E7C4">
            <w:pPr>
              <w:widowControl/>
              <w:jc w:val="left"/>
              <w:textAlignment w:val="center"/>
              <w:rPr>
                <w:rFonts w:ascii="宋体" w:hAnsi="宋体"/>
                <w:szCs w:val="20"/>
              </w:rPr>
            </w:pPr>
            <w:r>
              <w:rPr>
                <w:rFonts w:hint="eastAsia" w:ascii="宋体" w:hAnsi="宋体"/>
                <w:szCs w:val="20"/>
              </w:rPr>
              <w:t>4.空调应配置5英寸及以上全中文彩色触摸屏显示器，能按照设定的温度要求进行自动调节，能显示工作状态及回风温度变化曲线、机组电压及频率，并能记录主要部件运行时间，(需提供证明材料)。能储存并显示不少于1000条历史告警信息，不接受代码显示告警信息的显示器。</w:t>
            </w:r>
          </w:p>
          <w:p w14:paraId="400F16A1">
            <w:pPr>
              <w:widowControl/>
              <w:jc w:val="left"/>
              <w:textAlignment w:val="center"/>
              <w:rPr>
                <w:rFonts w:ascii="宋体" w:hAnsi="宋体"/>
                <w:szCs w:val="20"/>
              </w:rPr>
            </w:pPr>
            <w:r>
              <w:rPr>
                <w:rFonts w:hint="eastAsia" w:ascii="宋体" w:hAnsi="宋体"/>
                <w:szCs w:val="20"/>
              </w:rPr>
              <w:t>5.单相机组应具备过压、欠压告警功能。2)机房空调采用高效换热“U”型蒸发器盘管，三面回风。并提供图片证明。</w:t>
            </w:r>
          </w:p>
          <w:p w14:paraId="03C33363">
            <w:pPr>
              <w:widowControl/>
              <w:jc w:val="left"/>
              <w:textAlignment w:val="center"/>
              <w:rPr>
                <w:rFonts w:ascii="宋体" w:hAnsi="宋体"/>
                <w:szCs w:val="20"/>
              </w:rPr>
            </w:pPr>
            <w:r>
              <w:rPr>
                <w:rFonts w:hint="eastAsia" w:ascii="宋体" w:hAnsi="宋体"/>
                <w:szCs w:val="20"/>
              </w:rPr>
              <w:t>6.机房专用空调应具有高效节能性，要求投标同系列产品全年能效比（AEER）≥4.0及以上，并在机组明显位置粘贴一级能效标识。(请提供投标机组全年能效比具体数据)。</w:t>
            </w:r>
          </w:p>
          <w:p w14:paraId="1E519DFC">
            <w:pPr>
              <w:widowControl/>
              <w:jc w:val="left"/>
              <w:textAlignment w:val="center"/>
              <w:rPr>
                <w:rFonts w:ascii="宋体" w:hAnsi="宋体"/>
                <w:szCs w:val="20"/>
              </w:rPr>
            </w:pPr>
            <w:r>
              <w:rPr>
                <w:rFonts w:hint="eastAsia" w:ascii="宋体" w:hAnsi="宋体"/>
                <w:szCs w:val="20"/>
              </w:rPr>
              <w:t>7.压缩机应采用高效可靠的压缩机,压缩机必须位于室内机。</w:t>
            </w:r>
          </w:p>
          <w:p w14:paraId="63E7E219">
            <w:pPr>
              <w:widowControl/>
              <w:jc w:val="left"/>
              <w:textAlignment w:val="center"/>
              <w:rPr>
                <w:rFonts w:ascii="宋体" w:hAnsi="宋体"/>
                <w:szCs w:val="20"/>
              </w:rPr>
            </w:pPr>
            <w:r>
              <w:rPr>
                <w:rFonts w:hint="eastAsia" w:ascii="宋体" w:hAnsi="宋体"/>
                <w:szCs w:val="20"/>
              </w:rPr>
              <w:t>8.室内风机应为直连式轴流风机，风扇数量≥2个，支持在线热插拔。</w:t>
            </w:r>
          </w:p>
          <w:p w14:paraId="2B119295">
            <w:pPr>
              <w:widowControl/>
              <w:jc w:val="left"/>
              <w:textAlignment w:val="center"/>
              <w:rPr>
                <w:rFonts w:ascii="宋体" w:hAnsi="宋体"/>
                <w:szCs w:val="20"/>
              </w:rPr>
            </w:pPr>
            <w:r>
              <w:rPr>
                <w:rFonts w:hint="eastAsia" w:ascii="宋体" w:hAnsi="宋体"/>
                <w:szCs w:val="20"/>
              </w:rPr>
              <w:t>9.机房专用空调系统应具有高可靠性，满足全年365天，每天24小时不间断运行</w:t>
            </w:r>
          </w:p>
          <w:p w14:paraId="2E761072">
            <w:pPr>
              <w:widowControl/>
              <w:jc w:val="left"/>
              <w:textAlignment w:val="center"/>
              <w:rPr>
                <w:rFonts w:ascii="宋体" w:hAnsi="宋体"/>
                <w:szCs w:val="20"/>
              </w:rPr>
            </w:pPr>
            <w:r>
              <w:rPr>
                <w:rFonts w:hint="eastAsia" w:ascii="宋体" w:hAnsi="宋体"/>
                <w:szCs w:val="20"/>
              </w:rPr>
              <w:t>10.机房专用空调运行的平均无故障时间MTBF≥10万小时。</w:t>
            </w:r>
          </w:p>
          <w:p w14:paraId="64F86044">
            <w:pPr>
              <w:widowControl/>
              <w:jc w:val="left"/>
              <w:textAlignment w:val="center"/>
              <w:rPr>
                <w:rFonts w:ascii="宋体" w:hAnsi="宋体"/>
                <w:szCs w:val="20"/>
              </w:rPr>
            </w:pPr>
            <w:r>
              <w:rPr>
                <w:rFonts w:hint="eastAsia" w:ascii="宋体" w:hAnsi="宋体"/>
                <w:szCs w:val="20"/>
              </w:rPr>
              <w:t>11.空调应具备安装灵活特点，可摆放于地面或墙角，或靠近机柜布置。</w:t>
            </w:r>
          </w:p>
          <w:p w14:paraId="7BCF0FF6">
            <w:pPr>
              <w:widowControl/>
              <w:jc w:val="left"/>
              <w:textAlignment w:val="center"/>
              <w:rPr>
                <w:rFonts w:ascii="宋体" w:hAnsi="宋体"/>
                <w:szCs w:val="20"/>
              </w:rPr>
            </w:pPr>
            <w:r>
              <w:rPr>
                <w:rFonts w:hint="eastAsia" w:ascii="宋体" w:hAnsi="宋体"/>
                <w:szCs w:val="20"/>
              </w:rPr>
              <w:t>12.空调应具备来电自启动功能，满足机房无人值守的要求。</w:t>
            </w:r>
          </w:p>
          <w:p w14:paraId="72C68F07">
            <w:pPr>
              <w:widowControl/>
              <w:jc w:val="left"/>
              <w:textAlignment w:val="center"/>
              <w:rPr>
                <w:rFonts w:ascii="宋体" w:hAnsi="宋体"/>
                <w:szCs w:val="20"/>
              </w:rPr>
            </w:pPr>
            <w:r>
              <w:rPr>
                <w:rFonts w:hint="eastAsia" w:ascii="宋体" w:hAnsi="宋体"/>
                <w:szCs w:val="20"/>
              </w:rPr>
              <w:t>13.机房专用空调的空气洁净度：</w:t>
            </w:r>
          </w:p>
          <w:p w14:paraId="6CA77194">
            <w:pPr>
              <w:widowControl/>
              <w:jc w:val="left"/>
              <w:textAlignment w:val="center"/>
              <w:rPr>
                <w:rFonts w:ascii="宋体" w:hAnsi="宋体"/>
                <w:szCs w:val="20"/>
              </w:rPr>
            </w:pPr>
            <w:r>
              <w:rPr>
                <w:rFonts w:hint="eastAsia" w:ascii="宋体" w:hAnsi="宋体"/>
                <w:szCs w:val="20"/>
              </w:rPr>
              <w:t>应安装具有高过滤能力的空气过滤器，空气过滤器应便于更换，反复清洗，重复使用。</w:t>
            </w:r>
          </w:p>
          <w:p w14:paraId="67C1C7A7">
            <w:pPr>
              <w:widowControl/>
              <w:jc w:val="left"/>
              <w:textAlignment w:val="center"/>
              <w:rPr>
                <w:rFonts w:ascii="宋体" w:hAnsi="宋体"/>
                <w:szCs w:val="20"/>
              </w:rPr>
            </w:pPr>
            <w:r>
              <w:rPr>
                <w:rFonts w:hint="eastAsia" w:ascii="宋体" w:hAnsi="宋体"/>
                <w:szCs w:val="20"/>
              </w:rPr>
              <w:t>14.投标产品应采用正温度系数的PTC陶瓷套铝翅片电加热器。</w:t>
            </w:r>
          </w:p>
          <w:p w14:paraId="26CF6722">
            <w:pPr>
              <w:widowControl/>
              <w:jc w:val="left"/>
              <w:textAlignment w:val="center"/>
              <w:rPr>
                <w:rFonts w:ascii="宋体" w:hAnsi="宋体"/>
                <w:szCs w:val="20"/>
              </w:rPr>
            </w:pPr>
            <w:r>
              <w:rPr>
                <w:rFonts w:hint="eastAsia" w:ascii="宋体" w:hAnsi="宋体"/>
                <w:szCs w:val="20"/>
              </w:rPr>
              <w:t>15.投标机组必须采用环保型冷媒R410A。</w:t>
            </w:r>
          </w:p>
        </w:tc>
        <w:tc>
          <w:tcPr>
            <w:tcW w:w="922" w:type="dxa"/>
            <w:vAlign w:val="center"/>
          </w:tcPr>
          <w:p w14:paraId="464D2A22">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3759C664">
            <w:pPr>
              <w:widowControl/>
              <w:spacing w:line="240" w:lineRule="auto"/>
              <w:jc w:val="center"/>
              <w:rPr>
                <w:rFonts w:ascii="宋体" w:hAnsi="宋体"/>
                <w:szCs w:val="20"/>
              </w:rPr>
            </w:pPr>
            <w:r>
              <w:rPr>
                <w:rFonts w:hint="eastAsia" w:ascii="宋体" w:hAnsi="宋体"/>
                <w:szCs w:val="20"/>
              </w:rPr>
              <w:t>套</w:t>
            </w:r>
          </w:p>
        </w:tc>
      </w:tr>
      <w:tr w14:paraId="36FA8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5C13DD36">
            <w:pPr>
              <w:pStyle w:val="70"/>
              <w:widowControl/>
              <w:numPr>
                <w:ilvl w:val="0"/>
                <w:numId w:val="57"/>
              </w:numPr>
              <w:spacing w:line="240" w:lineRule="auto"/>
              <w:ind w:firstLineChars="0"/>
              <w:jc w:val="center"/>
              <w:rPr>
                <w:szCs w:val="20"/>
              </w:rPr>
            </w:pPr>
          </w:p>
        </w:tc>
        <w:tc>
          <w:tcPr>
            <w:tcW w:w="1989" w:type="dxa"/>
            <w:vAlign w:val="center"/>
          </w:tcPr>
          <w:p w14:paraId="5BA824A0">
            <w:pPr>
              <w:widowControl/>
              <w:jc w:val="center"/>
              <w:textAlignment w:val="center"/>
              <w:rPr>
                <w:rFonts w:ascii="宋体" w:hAnsi="宋体"/>
                <w:szCs w:val="20"/>
              </w:rPr>
            </w:pPr>
            <w:r>
              <w:rPr>
                <w:rFonts w:hint="eastAsia" w:ascii="宋体" w:hAnsi="宋体"/>
                <w:szCs w:val="20"/>
              </w:rPr>
              <w:t>录像机</w:t>
            </w:r>
          </w:p>
        </w:tc>
        <w:tc>
          <w:tcPr>
            <w:tcW w:w="4367" w:type="dxa"/>
            <w:vAlign w:val="center"/>
          </w:tcPr>
          <w:p w14:paraId="2AAABE6E">
            <w:pPr>
              <w:widowControl/>
              <w:jc w:val="left"/>
              <w:textAlignment w:val="center"/>
              <w:rPr>
                <w:rFonts w:ascii="宋体" w:hAnsi="宋体"/>
                <w:szCs w:val="20"/>
              </w:rPr>
            </w:pPr>
            <w:r>
              <w:rPr>
                <w:rFonts w:hint="eastAsia" w:ascii="宋体" w:hAnsi="宋体"/>
                <w:szCs w:val="20"/>
              </w:rPr>
              <w:t>2U机架式8盘位嵌入式网络硬盘录像机，采用短机箱设计，搭载高性能ATX电源</w:t>
            </w:r>
          </w:p>
          <w:p w14:paraId="5F3B24B2">
            <w:pPr>
              <w:widowControl/>
              <w:jc w:val="left"/>
              <w:textAlignment w:val="center"/>
              <w:rPr>
                <w:rFonts w:ascii="宋体" w:hAnsi="宋体"/>
                <w:szCs w:val="20"/>
              </w:rPr>
            </w:pPr>
            <w:r>
              <w:rPr>
                <w:rFonts w:hint="eastAsia" w:ascii="宋体" w:hAnsi="宋体"/>
                <w:szCs w:val="20"/>
              </w:rPr>
              <w:t>【硬件规格】</w:t>
            </w:r>
          </w:p>
          <w:p w14:paraId="27293E89">
            <w:pPr>
              <w:widowControl/>
              <w:jc w:val="left"/>
              <w:textAlignment w:val="center"/>
              <w:rPr>
                <w:rFonts w:ascii="宋体" w:hAnsi="宋体"/>
                <w:szCs w:val="20"/>
              </w:rPr>
            </w:pPr>
            <w:r>
              <w:rPr>
                <w:rFonts w:hint="eastAsia" w:ascii="宋体" w:hAnsi="宋体"/>
                <w:szCs w:val="20"/>
              </w:rPr>
              <w:t>存储接口：</w:t>
            </w:r>
            <w:r>
              <w:rPr>
                <w:rFonts w:ascii="宋体" w:hAnsi="宋体"/>
                <w:szCs w:val="20"/>
              </w:rPr>
              <w:t>≥</w:t>
            </w:r>
            <w:r>
              <w:rPr>
                <w:rFonts w:hint="eastAsia" w:ascii="宋体" w:hAnsi="宋体"/>
                <w:szCs w:val="20"/>
              </w:rPr>
              <w:t>8个SATA接口</w:t>
            </w:r>
          </w:p>
          <w:p w14:paraId="3BDD9504">
            <w:pPr>
              <w:widowControl/>
              <w:jc w:val="left"/>
              <w:textAlignment w:val="center"/>
              <w:rPr>
                <w:rFonts w:ascii="宋体" w:hAnsi="宋体"/>
                <w:szCs w:val="20"/>
              </w:rPr>
            </w:pPr>
            <w:r>
              <w:rPr>
                <w:rFonts w:hint="eastAsia" w:ascii="宋体" w:hAnsi="宋体"/>
                <w:szCs w:val="20"/>
              </w:rPr>
              <w:t>视频接口：</w:t>
            </w:r>
            <w:r>
              <w:rPr>
                <w:rFonts w:ascii="宋体" w:hAnsi="宋体"/>
                <w:szCs w:val="20"/>
              </w:rPr>
              <w:t>≥</w:t>
            </w:r>
            <w:r>
              <w:rPr>
                <w:rFonts w:hint="eastAsia" w:ascii="宋体" w:hAnsi="宋体"/>
                <w:szCs w:val="20"/>
              </w:rPr>
              <w:t>2×HDMI，2×VGA</w:t>
            </w:r>
          </w:p>
          <w:p w14:paraId="22CF57D4">
            <w:pPr>
              <w:widowControl/>
              <w:jc w:val="left"/>
              <w:textAlignment w:val="center"/>
              <w:rPr>
                <w:rFonts w:ascii="宋体" w:hAnsi="宋体"/>
                <w:szCs w:val="20"/>
              </w:rPr>
            </w:pPr>
            <w:r>
              <w:rPr>
                <w:rFonts w:hint="eastAsia" w:ascii="宋体" w:hAnsi="宋体"/>
                <w:szCs w:val="20"/>
              </w:rPr>
              <w:t>网络接口：</w:t>
            </w:r>
            <w:r>
              <w:rPr>
                <w:rFonts w:ascii="宋体" w:hAnsi="宋体"/>
                <w:szCs w:val="20"/>
              </w:rPr>
              <w:t>≥</w:t>
            </w:r>
            <w:r>
              <w:rPr>
                <w:rFonts w:hint="eastAsia" w:ascii="宋体" w:hAnsi="宋体"/>
                <w:szCs w:val="20"/>
              </w:rPr>
              <w:t>2×RJ45 10/100/1000Mbps自适应以太网口</w:t>
            </w:r>
          </w:p>
          <w:p w14:paraId="5B916ABD">
            <w:pPr>
              <w:widowControl/>
              <w:jc w:val="left"/>
              <w:textAlignment w:val="center"/>
              <w:rPr>
                <w:rFonts w:ascii="宋体" w:hAnsi="宋体"/>
                <w:szCs w:val="20"/>
              </w:rPr>
            </w:pPr>
            <w:r>
              <w:rPr>
                <w:rFonts w:hint="eastAsia" w:ascii="宋体" w:hAnsi="宋体"/>
                <w:szCs w:val="20"/>
              </w:rPr>
              <w:t>报警接口：</w:t>
            </w:r>
            <w:r>
              <w:rPr>
                <w:rFonts w:ascii="宋体" w:hAnsi="宋体"/>
                <w:szCs w:val="20"/>
              </w:rPr>
              <w:t>≥</w:t>
            </w:r>
            <w:r>
              <w:rPr>
                <w:rFonts w:hint="eastAsia" w:ascii="宋体" w:hAnsi="宋体"/>
                <w:szCs w:val="20"/>
              </w:rPr>
              <w:t>16路报警输入，</w:t>
            </w:r>
            <w:r>
              <w:rPr>
                <w:rFonts w:ascii="宋体" w:hAnsi="宋体"/>
                <w:szCs w:val="20"/>
              </w:rPr>
              <w:t>≥</w:t>
            </w:r>
            <w:r>
              <w:rPr>
                <w:rFonts w:hint="eastAsia" w:ascii="宋体" w:hAnsi="宋体"/>
                <w:szCs w:val="20"/>
              </w:rPr>
              <w:t>4路报警输出</w:t>
            </w:r>
          </w:p>
          <w:p w14:paraId="25B80BFA">
            <w:pPr>
              <w:widowControl/>
              <w:jc w:val="left"/>
              <w:textAlignment w:val="center"/>
              <w:rPr>
                <w:rFonts w:ascii="宋体" w:hAnsi="宋体"/>
                <w:szCs w:val="20"/>
              </w:rPr>
            </w:pPr>
            <w:r>
              <w:rPr>
                <w:rFonts w:hint="eastAsia" w:ascii="宋体" w:hAnsi="宋体"/>
                <w:szCs w:val="20"/>
              </w:rPr>
              <w:t>串行接口：</w:t>
            </w:r>
            <w:r>
              <w:rPr>
                <w:rFonts w:ascii="宋体" w:hAnsi="宋体"/>
                <w:szCs w:val="20"/>
              </w:rPr>
              <w:t>≥</w:t>
            </w:r>
            <w:r>
              <w:rPr>
                <w:rFonts w:hint="eastAsia" w:ascii="宋体" w:hAnsi="宋体"/>
                <w:szCs w:val="20"/>
              </w:rPr>
              <w:t>1路RS-232接口，</w:t>
            </w:r>
            <w:r>
              <w:rPr>
                <w:rFonts w:ascii="宋体" w:hAnsi="宋体"/>
                <w:szCs w:val="20"/>
              </w:rPr>
              <w:t>≥</w:t>
            </w:r>
            <w:r>
              <w:rPr>
                <w:rFonts w:hint="eastAsia" w:ascii="宋体" w:hAnsi="宋体"/>
                <w:szCs w:val="20"/>
              </w:rPr>
              <w:t>1路半双工RS-485接口</w:t>
            </w:r>
          </w:p>
          <w:p w14:paraId="1A67034A">
            <w:pPr>
              <w:widowControl/>
              <w:jc w:val="left"/>
              <w:textAlignment w:val="center"/>
              <w:rPr>
                <w:rFonts w:ascii="宋体" w:hAnsi="宋体"/>
                <w:szCs w:val="20"/>
              </w:rPr>
            </w:pPr>
            <w:r>
              <w:rPr>
                <w:rFonts w:hint="eastAsia" w:ascii="宋体" w:hAnsi="宋体"/>
                <w:szCs w:val="20"/>
              </w:rPr>
              <w:t>USB接口：</w:t>
            </w:r>
            <w:r>
              <w:rPr>
                <w:rFonts w:ascii="宋体" w:hAnsi="宋体"/>
                <w:szCs w:val="20"/>
              </w:rPr>
              <w:t>≥</w:t>
            </w:r>
            <w:r>
              <w:rPr>
                <w:rFonts w:hint="eastAsia" w:ascii="宋体" w:hAnsi="宋体"/>
                <w:szCs w:val="20"/>
              </w:rPr>
              <w:t>2×USB 2.0，1×USB 3.0</w:t>
            </w:r>
          </w:p>
        </w:tc>
        <w:tc>
          <w:tcPr>
            <w:tcW w:w="922" w:type="dxa"/>
            <w:vAlign w:val="center"/>
          </w:tcPr>
          <w:p w14:paraId="4C3888D6">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6D604008">
            <w:pPr>
              <w:widowControl/>
              <w:jc w:val="center"/>
              <w:textAlignment w:val="center"/>
              <w:rPr>
                <w:rFonts w:ascii="宋体" w:hAnsi="宋体"/>
                <w:szCs w:val="20"/>
              </w:rPr>
            </w:pPr>
            <w:r>
              <w:rPr>
                <w:rFonts w:hint="eastAsia" w:ascii="宋体" w:hAnsi="宋体"/>
                <w:szCs w:val="20"/>
              </w:rPr>
              <w:t>台</w:t>
            </w:r>
          </w:p>
        </w:tc>
      </w:tr>
      <w:tr w14:paraId="05677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53639812">
            <w:pPr>
              <w:pStyle w:val="70"/>
              <w:widowControl/>
              <w:numPr>
                <w:ilvl w:val="0"/>
                <w:numId w:val="57"/>
              </w:numPr>
              <w:spacing w:line="240" w:lineRule="auto"/>
              <w:ind w:firstLineChars="0"/>
              <w:jc w:val="center"/>
              <w:rPr>
                <w:szCs w:val="20"/>
              </w:rPr>
            </w:pPr>
          </w:p>
        </w:tc>
        <w:tc>
          <w:tcPr>
            <w:tcW w:w="1989" w:type="dxa"/>
            <w:vAlign w:val="center"/>
          </w:tcPr>
          <w:p w14:paraId="5DE85B3C">
            <w:pPr>
              <w:widowControl/>
              <w:jc w:val="center"/>
              <w:textAlignment w:val="center"/>
              <w:rPr>
                <w:rFonts w:ascii="宋体" w:hAnsi="宋体"/>
                <w:szCs w:val="20"/>
              </w:rPr>
            </w:pPr>
            <w:r>
              <w:rPr>
                <w:rFonts w:hint="eastAsia" w:ascii="宋体" w:hAnsi="宋体"/>
                <w:szCs w:val="20"/>
              </w:rPr>
              <w:t>8T硬盘</w:t>
            </w:r>
          </w:p>
        </w:tc>
        <w:tc>
          <w:tcPr>
            <w:tcW w:w="4367" w:type="dxa"/>
            <w:shd w:val="clear" w:color="auto" w:fill="auto"/>
            <w:vAlign w:val="center"/>
          </w:tcPr>
          <w:p w14:paraId="3C266E89">
            <w:pPr>
              <w:widowControl/>
              <w:jc w:val="left"/>
              <w:textAlignment w:val="center"/>
              <w:rPr>
                <w:rFonts w:ascii="宋体" w:hAnsi="宋体"/>
                <w:szCs w:val="20"/>
              </w:rPr>
            </w:pPr>
            <w:r>
              <w:rPr>
                <w:rFonts w:hint="eastAsia" w:ascii="宋体" w:hAnsi="宋体"/>
                <w:szCs w:val="20"/>
              </w:rPr>
              <w:t>容量（TB）：</w:t>
            </w:r>
            <w:r>
              <w:rPr>
                <w:rFonts w:ascii="宋体" w:hAnsi="宋体"/>
                <w:szCs w:val="20"/>
              </w:rPr>
              <w:t>≥</w:t>
            </w:r>
            <w:r>
              <w:rPr>
                <w:rFonts w:hint="eastAsia" w:ascii="宋体" w:hAnsi="宋体"/>
                <w:szCs w:val="20"/>
              </w:rPr>
              <w:t>8；</w:t>
            </w:r>
          </w:p>
          <w:p w14:paraId="4B18B214">
            <w:pPr>
              <w:widowControl/>
              <w:jc w:val="left"/>
              <w:textAlignment w:val="center"/>
              <w:rPr>
                <w:rFonts w:ascii="宋体" w:hAnsi="宋体"/>
                <w:szCs w:val="20"/>
              </w:rPr>
            </w:pPr>
            <w:r>
              <w:rPr>
                <w:rFonts w:hint="eastAsia" w:ascii="宋体" w:hAnsi="宋体"/>
                <w:szCs w:val="20"/>
              </w:rPr>
              <w:t>接口：SATA；</w:t>
            </w:r>
          </w:p>
          <w:p w14:paraId="5D115CEC">
            <w:pPr>
              <w:widowControl/>
              <w:jc w:val="left"/>
              <w:textAlignment w:val="center"/>
              <w:rPr>
                <w:rFonts w:ascii="宋体" w:hAnsi="宋体"/>
                <w:szCs w:val="20"/>
              </w:rPr>
            </w:pPr>
            <w:r>
              <w:rPr>
                <w:rFonts w:hint="eastAsia" w:ascii="宋体" w:hAnsi="宋体"/>
                <w:szCs w:val="20"/>
              </w:rPr>
              <w:t>转速（rpm）：</w:t>
            </w:r>
            <w:r>
              <w:rPr>
                <w:rFonts w:ascii="宋体" w:hAnsi="宋体"/>
                <w:szCs w:val="20"/>
              </w:rPr>
              <w:t>≥</w:t>
            </w:r>
            <w:r>
              <w:rPr>
                <w:rFonts w:hint="eastAsia" w:ascii="宋体" w:hAnsi="宋体"/>
                <w:szCs w:val="20"/>
              </w:rPr>
              <w:t>5400；</w:t>
            </w:r>
          </w:p>
          <w:p w14:paraId="2DB50BC6">
            <w:pPr>
              <w:widowControl/>
              <w:jc w:val="left"/>
              <w:textAlignment w:val="center"/>
              <w:rPr>
                <w:rFonts w:ascii="宋体" w:hAnsi="宋体"/>
                <w:szCs w:val="20"/>
              </w:rPr>
            </w:pPr>
            <w:r>
              <w:rPr>
                <w:rFonts w:hint="eastAsia" w:ascii="宋体" w:hAnsi="宋体"/>
                <w:szCs w:val="20"/>
              </w:rPr>
              <w:t>传输速率：</w:t>
            </w:r>
            <w:r>
              <w:rPr>
                <w:rFonts w:ascii="宋体" w:hAnsi="宋体"/>
                <w:szCs w:val="20"/>
              </w:rPr>
              <w:t>≥</w:t>
            </w:r>
            <w:r>
              <w:rPr>
                <w:rFonts w:hint="eastAsia" w:ascii="宋体" w:hAnsi="宋体"/>
                <w:szCs w:val="20"/>
              </w:rPr>
              <w:t>6GB/s；</w:t>
            </w:r>
          </w:p>
          <w:p w14:paraId="57FBAEC4">
            <w:pPr>
              <w:widowControl/>
              <w:jc w:val="left"/>
              <w:textAlignment w:val="center"/>
              <w:rPr>
                <w:rFonts w:ascii="宋体" w:hAnsi="宋体"/>
                <w:szCs w:val="20"/>
              </w:rPr>
            </w:pPr>
            <w:r>
              <w:rPr>
                <w:rFonts w:hint="eastAsia" w:ascii="宋体" w:hAnsi="宋体"/>
                <w:szCs w:val="20"/>
              </w:rPr>
              <w:t>缓存：</w:t>
            </w:r>
            <w:r>
              <w:rPr>
                <w:rFonts w:ascii="宋体" w:hAnsi="宋体"/>
                <w:szCs w:val="20"/>
              </w:rPr>
              <w:t>≥</w:t>
            </w:r>
            <w:r>
              <w:rPr>
                <w:rFonts w:hint="eastAsia" w:ascii="宋体" w:hAnsi="宋体"/>
                <w:szCs w:val="20"/>
              </w:rPr>
              <w:t>256MB；</w:t>
            </w:r>
          </w:p>
        </w:tc>
        <w:tc>
          <w:tcPr>
            <w:tcW w:w="922" w:type="dxa"/>
            <w:vAlign w:val="center"/>
          </w:tcPr>
          <w:p w14:paraId="031E7DC9">
            <w:pPr>
              <w:widowControl/>
              <w:jc w:val="center"/>
              <w:textAlignment w:val="center"/>
              <w:rPr>
                <w:rFonts w:ascii="宋体" w:hAnsi="宋体"/>
                <w:szCs w:val="20"/>
              </w:rPr>
            </w:pPr>
            <w:r>
              <w:rPr>
                <w:rFonts w:hint="eastAsia" w:ascii="宋体" w:hAnsi="宋体"/>
                <w:szCs w:val="20"/>
              </w:rPr>
              <w:t>4</w:t>
            </w:r>
          </w:p>
        </w:tc>
        <w:tc>
          <w:tcPr>
            <w:tcW w:w="820" w:type="dxa"/>
            <w:vAlign w:val="center"/>
          </w:tcPr>
          <w:p w14:paraId="660B08EF">
            <w:pPr>
              <w:widowControl/>
              <w:jc w:val="center"/>
              <w:textAlignment w:val="center"/>
              <w:rPr>
                <w:rFonts w:ascii="宋体" w:hAnsi="宋体"/>
                <w:szCs w:val="20"/>
              </w:rPr>
            </w:pPr>
            <w:r>
              <w:rPr>
                <w:rFonts w:hint="eastAsia" w:ascii="宋体" w:hAnsi="宋体"/>
                <w:szCs w:val="20"/>
              </w:rPr>
              <w:t>块</w:t>
            </w:r>
          </w:p>
        </w:tc>
      </w:tr>
      <w:tr w14:paraId="7C42E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2CC858E8">
            <w:pPr>
              <w:pStyle w:val="70"/>
              <w:widowControl/>
              <w:numPr>
                <w:ilvl w:val="0"/>
                <w:numId w:val="57"/>
              </w:numPr>
              <w:spacing w:line="240" w:lineRule="auto"/>
              <w:ind w:firstLineChars="0"/>
              <w:jc w:val="center"/>
              <w:rPr>
                <w:szCs w:val="20"/>
              </w:rPr>
            </w:pPr>
          </w:p>
        </w:tc>
        <w:tc>
          <w:tcPr>
            <w:tcW w:w="1989" w:type="dxa"/>
            <w:vAlign w:val="center"/>
          </w:tcPr>
          <w:p w14:paraId="23B2D791">
            <w:pPr>
              <w:widowControl/>
              <w:jc w:val="center"/>
              <w:textAlignment w:val="center"/>
              <w:rPr>
                <w:rFonts w:ascii="宋体" w:hAnsi="宋体"/>
                <w:szCs w:val="20"/>
              </w:rPr>
            </w:pPr>
            <w:r>
              <w:rPr>
                <w:rFonts w:hint="eastAsia" w:ascii="宋体" w:hAnsi="宋体"/>
                <w:szCs w:val="20"/>
              </w:rPr>
              <w:t>摄像头</w:t>
            </w:r>
          </w:p>
        </w:tc>
        <w:tc>
          <w:tcPr>
            <w:tcW w:w="4367" w:type="dxa"/>
            <w:vAlign w:val="center"/>
          </w:tcPr>
          <w:p w14:paraId="45AC942D">
            <w:pPr>
              <w:widowControl/>
              <w:jc w:val="left"/>
              <w:textAlignment w:val="center"/>
              <w:rPr>
                <w:rFonts w:ascii="宋体" w:hAnsi="宋体"/>
                <w:szCs w:val="20"/>
              </w:rPr>
            </w:pPr>
            <w:r>
              <w:rPr>
                <w:rFonts w:hint="eastAsia" w:ascii="宋体" w:hAnsi="宋体"/>
                <w:szCs w:val="20"/>
              </w:rPr>
              <w:t>400万1/2.7" CMOS ICR 智能变焦半球网络摄像机</w:t>
            </w:r>
          </w:p>
          <w:p w14:paraId="3BDC2598">
            <w:pPr>
              <w:widowControl/>
              <w:jc w:val="left"/>
              <w:textAlignment w:val="center"/>
              <w:rPr>
                <w:rFonts w:ascii="宋体" w:hAnsi="宋体"/>
                <w:szCs w:val="20"/>
              </w:rPr>
            </w:pPr>
            <w:r>
              <w:rPr>
                <w:rFonts w:hint="eastAsia" w:ascii="宋体" w:hAnsi="宋体"/>
                <w:szCs w:val="20"/>
              </w:rPr>
              <w:t>智能侦测: 采用深度学习硬件及算法,提供精准的人车分类侦测,支持越界侦测,区域入侵侦测,进入/离开区域侦测。</w:t>
            </w:r>
          </w:p>
          <w:p w14:paraId="7ED14812">
            <w:pPr>
              <w:widowControl/>
              <w:jc w:val="left"/>
              <w:textAlignment w:val="center"/>
              <w:rPr>
                <w:rFonts w:ascii="宋体" w:hAnsi="宋体"/>
                <w:szCs w:val="20"/>
              </w:rPr>
            </w:pPr>
            <w:r>
              <w:rPr>
                <w:rFonts w:hint="eastAsia" w:ascii="宋体" w:hAnsi="宋体"/>
                <w:szCs w:val="20"/>
              </w:rPr>
              <w:t>镜头:2.7-12mm @ F1.4 水平视场角: 113°-32°</w:t>
            </w:r>
          </w:p>
          <w:p w14:paraId="01C0024E">
            <w:pPr>
              <w:widowControl/>
              <w:jc w:val="left"/>
              <w:textAlignment w:val="center"/>
              <w:rPr>
                <w:rFonts w:ascii="宋体" w:hAnsi="宋体"/>
                <w:szCs w:val="20"/>
              </w:rPr>
            </w:pPr>
            <w:r>
              <w:rPr>
                <w:rFonts w:hint="eastAsia" w:ascii="宋体" w:hAnsi="宋体"/>
                <w:szCs w:val="20"/>
              </w:rPr>
              <w:t>调整角度:水平:0°~355°,垂直:0°~75°,旋转0°~355°</w:t>
            </w:r>
          </w:p>
          <w:p w14:paraId="460A3CD3">
            <w:pPr>
              <w:widowControl/>
              <w:jc w:val="left"/>
              <w:textAlignment w:val="center"/>
              <w:rPr>
                <w:rFonts w:ascii="宋体" w:hAnsi="宋体"/>
                <w:szCs w:val="20"/>
              </w:rPr>
            </w:pPr>
            <w:r>
              <w:rPr>
                <w:rFonts w:hint="eastAsia" w:ascii="宋体" w:hAnsi="宋体"/>
                <w:szCs w:val="20"/>
              </w:rPr>
              <w:t>最大图像尺寸:</w:t>
            </w:r>
            <w:r>
              <w:rPr>
                <w:rFonts w:ascii="宋体" w:hAnsi="宋体"/>
                <w:szCs w:val="20"/>
              </w:rPr>
              <w:t>≥</w:t>
            </w:r>
            <w:r>
              <w:rPr>
                <w:rFonts w:hint="eastAsia" w:ascii="宋体" w:hAnsi="宋体"/>
                <w:szCs w:val="20"/>
              </w:rPr>
              <w:t>1920×1080</w:t>
            </w:r>
          </w:p>
          <w:p w14:paraId="19DAA574">
            <w:pPr>
              <w:widowControl/>
              <w:jc w:val="left"/>
              <w:textAlignment w:val="center"/>
              <w:rPr>
                <w:rFonts w:ascii="宋体" w:hAnsi="宋体"/>
                <w:szCs w:val="20"/>
              </w:rPr>
            </w:pPr>
            <w:r>
              <w:rPr>
                <w:rFonts w:hint="eastAsia" w:ascii="宋体" w:hAnsi="宋体"/>
                <w:szCs w:val="20"/>
              </w:rPr>
              <w:t>存储功能:支持Micro SD(即TF卡)/Micro SDHC/Micro SDXC卡(128G)断网本地存储及断网续传,NAS(NFS,SMB/CIFS均支持)</w:t>
            </w:r>
          </w:p>
          <w:p w14:paraId="67B4902C">
            <w:pPr>
              <w:widowControl/>
              <w:jc w:val="left"/>
              <w:textAlignment w:val="center"/>
              <w:rPr>
                <w:rFonts w:ascii="宋体" w:hAnsi="宋体"/>
                <w:szCs w:val="20"/>
              </w:rPr>
            </w:pPr>
            <w:r>
              <w:rPr>
                <w:rFonts w:hint="eastAsia" w:ascii="宋体" w:hAnsi="宋体"/>
                <w:szCs w:val="20"/>
              </w:rPr>
              <w:t>通讯接口:</w:t>
            </w:r>
            <w:r>
              <w:rPr>
                <w:rFonts w:ascii="宋体" w:hAnsi="宋体"/>
                <w:szCs w:val="20"/>
              </w:rPr>
              <w:t>≥</w:t>
            </w:r>
            <w:r>
              <w:rPr>
                <w:rFonts w:hint="eastAsia" w:ascii="宋体" w:hAnsi="宋体"/>
                <w:szCs w:val="20"/>
              </w:rPr>
              <w:t>1个RJ45 10M / 100M自适应以太网口</w:t>
            </w:r>
          </w:p>
          <w:p w14:paraId="142A050E">
            <w:pPr>
              <w:widowControl/>
              <w:jc w:val="left"/>
              <w:textAlignment w:val="center"/>
              <w:rPr>
                <w:rFonts w:ascii="宋体" w:hAnsi="宋体"/>
                <w:szCs w:val="20"/>
              </w:rPr>
            </w:pPr>
            <w:r>
              <w:rPr>
                <w:rFonts w:hint="eastAsia" w:ascii="宋体" w:hAnsi="宋体"/>
                <w:szCs w:val="20"/>
              </w:rPr>
              <w:t>音频接口:</w:t>
            </w:r>
            <w:r>
              <w:rPr>
                <w:rFonts w:ascii="宋体" w:hAnsi="宋体"/>
                <w:szCs w:val="20"/>
              </w:rPr>
              <w:t>≥</w:t>
            </w:r>
            <w:r>
              <w:rPr>
                <w:rFonts w:hint="eastAsia" w:ascii="宋体" w:hAnsi="宋体"/>
                <w:szCs w:val="20"/>
              </w:rPr>
              <w:t>1对音频输入(Line in)/输出外部接口</w:t>
            </w:r>
          </w:p>
          <w:p w14:paraId="13D869AF">
            <w:pPr>
              <w:widowControl/>
              <w:jc w:val="left"/>
              <w:textAlignment w:val="center"/>
              <w:rPr>
                <w:rFonts w:ascii="宋体" w:hAnsi="宋体"/>
                <w:szCs w:val="20"/>
              </w:rPr>
            </w:pPr>
            <w:r>
              <w:rPr>
                <w:rFonts w:hint="eastAsia" w:ascii="宋体" w:hAnsi="宋体"/>
                <w:szCs w:val="20"/>
              </w:rPr>
              <w:t>报警输入:</w:t>
            </w:r>
            <w:r>
              <w:rPr>
                <w:rFonts w:ascii="宋体" w:hAnsi="宋体"/>
                <w:szCs w:val="20"/>
              </w:rPr>
              <w:t>≥</w:t>
            </w:r>
            <w:r>
              <w:rPr>
                <w:rFonts w:hint="eastAsia" w:ascii="宋体" w:hAnsi="宋体"/>
                <w:szCs w:val="20"/>
              </w:rPr>
              <w:t>1路</w:t>
            </w:r>
          </w:p>
          <w:p w14:paraId="4AF7AA21">
            <w:pPr>
              <w:widowControl/>
              <w:jc w:val="left"/>
              <w:textAlignment w:val="center"/>
              <w:rPr>
                <w:rFonts w:ascii="宋体" w:hAnsi="宋体"/>
                <w:szCs w:val="20"/>
              </w:rPr>
            </w:pPr>
            <w:r>
              <w:rPr>
                <w:rFonts w:hint="eastAsia" w:ascii="宋体" w:hAnsi="宋体"/>
                <w:szCs w:val="20"/>
              </w:rPr>
              <w:t>报警输出:</w:t>
            </w:r>
            <w:r>
              <w:rPr>
                <w:rFonts w:ascii="宋体" w:hAnsi="宋体"/>
                <w:szCs w:val="20"/>
              </w:rPr>
              <w:t>≥</w:t>
            </w:r>
            <w:r>
              <w:rPr>
                <w:rFonts w:hint="eastAsia" w:ascii="宋体" w:hAnsi="宋体"/>
                <w:szCs w:val="20"/>
              </w:rPr>
              <w:t>1路</w:t>
            </w:r>
          </w:p>
          <w:p w14:paraId="5F078ED4">
            <w:pPr>
              <w:widowControl/>
              <w:jc w:val="left"/>
              <w:textAlignment w:val="center"/>
              <w:rPr>
                <w:rFonts w:ascii="宋体" w:hAnsi="宋体"/>
                <w:szCs w:val="20"/>
              </w:rPr>
            </w:pPr>
            <w:r>
              <w:rPr>
                <w:rFonts w:hint="eastAsia" w:ascii="宋体" w:hAnsi="宋体"/>
                <w:szCs w:val="20"/>
              </w:rPr>
              <w:t>工作温度和湿度:</w:t>
            </w:r>
            <w:r>
              <w:rPr>
                <w:rFonts w:ascii="宋体" w:hAnsi="宋体"/>
                <w:szCs w:val="20"/>
              </w:rPr>
              <w:t>≥</w:t>
            </w:r>
            <w:r>
              <w:rPr>
                <w:rFonts w:hint="eastAsia" w:ascii="宋体" w:hAnsi="宋体"/>
                <w:szCs w:val="20"/>
              </w:rPr>
              <w:t>-30℃~60℃,湿度小于95%(无凝结)</w:t>
            </w:r>
          </w:p>
          <w:p w14:paraId="61F46DF9">
            <w:pPr>
              <w:widowControl/>
              <w:jc w:val="left"/>
              <w:textAlignment w:val="center"/>
              <w:rPr>
                <w:rFonts w:ascii="宋体" w:hAnsi="宋体"/>
                <w:szCs w:val="20"/>
              </w:rPr>
            </w:pPr>
            <w:r>
              <w:rPr>
                <w:rFonts w:hint="eastAsia" w:ascii="宋体" w:hAnsi="宋体"/>
                <w:szCs w:val="20"/>
              </w:rPr>
              <w:t>电源供应:DC12V±25% / PoE(802.3af)</w:t>
            </w:r>
          </w:p>
          <w:p w14:paraId="3095CF00">
            <w:pPr>
              <w:widowControl/>
              <w:jc w:val="left"/>
              <w:textAlignment w:val="center"/>
              <w:rPr>
                <w:rFonts w:ascii="宋体" w:hAnsi="宋体"/>
                <w:szCs w:val="20"/>
              </w:rPr>
            </w:pPr>
            <w:r>
              <w:rPr>
                <w:rFonts w:hint="eastAsia" w:ascii="宋体" w:hAnsi="宋体"/>
                <w:szCs w:val="20"/>
              </w:rPr>
              <w:t>电源接口类型:Φ5.5mm圆头电源接口</w:t>
            </w:r>
          </w:p>
          <w:p w14:paraId="38D67240">
            <w:pPr>
              <w:widowControl/>
              <w:jc w:val="left"/>
              <w:textAlignment w:val="center"/>
              <w:rPr>
                <w:rFonts w:ascii="宋体" w:hAnsi="宋体"/>
                <w:szCs w:val="20"/>
              </w:rPr>
            </w:pPr>
            <w:r>
              <w:rPr>
                <w:rFonts w:hint="eastAsia" w:ascii="宋体" w:hAnsi="宋体"/>
                <w:szCs w:val="20"/>
              </w:rPr>
              <w:t>功耗:DC12V: 11 W Max;PoE: 12.9 W Max</w:t>
            </w:r>
          </w:p>
          <w:p w14:paraId="56A1C709">
            <w:pPr>
              <w:widowControl/>
              <w:jc w:val="left"/>
              <w:textAlignment w:val="center"/>
              <w:rPr>
                <w:rFonts w:ascii="宋体" w:hAnsi="宋体"/>
                <w:szCs w:val="20"/>
              </w:rPr>
            </w:pPr>
            <w:r>
              <w:rPr>
                <w:rFonts w:hint="eastAsia" w:ascii="宋体" w:hAnsi="宋体"/>
                <w:szCs w:val="20"/>
              </w:rPr>
              <w:t>红外照射距离:最远可达30米</w:t>
            </w:r>
          </w:p>
          <w:p w14:paraId="1EF60470">
            <w:pPr>
              <w:widowControl/>
              <w:jc w:val="left"/>
              <w:textAlignment w:val="center"/>
              <w:rPr>
                <w:rFonts w:ascii="宋体" w:hAnsi="宋体"/>
                <w:szCs w:val="20"/>
              </w:rPr>
            </w:pPr>
            <w:r>
              <w:rPr>
                <w:rFonts w:hint="eastAsia" w:ascii="宋体" w:hAnsi="宋体"/>
                <w:szCs w:val="20"/>
              </w:rPr>
              <w:t>防护等级:</w:t>
            </w:r>
            <w:r>
              <w:rPr>
                <w:rFonts w:ascii="宋体" w:hAnsi="宋体"/>
                <w:szCs w:val="20"/>
              </w:rPr>
              <w:t>≥</w:t>
            </w:r>
            <w:r>
              <w:rPr>
                <w:rFonts w:hint="eastAsia" w:ascii="宋体" w:hAnsi="宋体"/>
                <w:szCs w:val="20"/>
              </w:rPr>
              <w:t>IP67</w:t>
            </w:r>
          </w:p>
          <w:p w14:paraId="0DE7C003">
            <w:pPr>
              <w:widowControl/>
              <w:jc w:val="left"/>
              <w:textAlignment w:val="center"/>
              <w:rPr>
                <w:rFonts w:ascii="宋体" w:hAnsi="宋体"/>
                <w:szCs w:val="20"/>
              </w:rPr>
            </w:pPr>
            <w:r>
              <w:rPr>
                <w:rFonts w:hint="eastAsia" w:ascii="宋体" w:hAnsi="宋体"/>
                <w:szCs w:val="20"/>
              </w:rPr>
              <w:t>防暴等级:</w:t>
            </w:r>
            <w:r>
              <w:rPr>
                <w:rFonts w:ascii="宋体" w:hAnsi="宋体"/>
                <w:szCs w:val="20"/>
              </w:rPr>
              <w:t>≥</w:t>
            </w:r>
            <w:r>
              <w:rPr>
                <w:rFonts w:hint="eastAsia" w:ascii="宋体" w:hAnsi="宋体"/>
                <w:szCs w:val="20"/>
              </w:rPr>
              <w:t>IK10</w:t>
            </w:r>
          </w:p>
        </w:tc>
        <w:tc>
          <w:tcPr>
            <w:tcW w:w="922" w:type="dxa"/>
            <w:vAlign w:val="center"/>
          </w:tcPr>
          <w:p w14:paraId="69E9C2F2">
            <w:pPr>
              <w:widowControl/>
              <w:jc w:val="center"/>
              <w:textAlignment w:val="center"/>
              <w:rPr>
                <w:rFonts w:ascii="宋体" w:hAnsi="宋体"/>
                <w:szCs w:val="20"/>
              </w:rPr>
            </w:pPr>
            <w:r>
              <w:rPr>
                <w:rFonts w:hint="eastAsia" w:ascii="宋体" w:hAnsi="宋体"/>
                <w:szCs w:val="20"/>
              </w:rPr>
              <w:t>4</w:t>
            </w:r>
          </w:p>
        </w:tc>
        <w:tc>
          <w:tcPr>
            <w:tcW w:w="820" w:type="dxa"/>
            <w:vAlign w:val="center"/>
          </w:tcPr>
          <w:p w14:paraId="27B7AB69">
            <w:pPr>
              <w:widowControl/>
              <w:jc w:val="center"/>
              <w:textAlignment w:val="center"/>
              <w:rPr>
                <w:rFonts w:ascii="宋体" w:hAnsi="宋体"/>
                <w:szCs w:val="20"/>
              </w:rPr>
            </w:pPr>
            <w:r>
              <w:rPr>
                <w:rFonts w:hint="eastAsia" w:ascii="宋体" w:hAnsi="宋体"/>
                <w:szCs w:val="20"/>
              </w:rPr>
              <w:t>个</w:t>
            </w:r>
          </w:p>
        </w:tc>
      </w:tr>
      <w:tr w14:paraId="13D52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32EFDB2D">
            <w:pPr>
              <w:pStyle w:val="70"/>
              <w:widowControl/>
              <w:numPr>
                <w:ilvl w:val="0"/>
                <w:numId w:val="57"/>
              </w:numPr>
              <w:spacing w:line="240" w:lineRule="auto"/>
              <w:ind w:firstLineChars="0"/>
              <w:jc w:val="center"/>
              <w:rPr>
                <w:szCs w:val="20"/>
              </w:rPr>
            </w:pPr>
          </w:p>
        </w:tc>
        <w:tc>
          <w:tcPr>
            <w:tcW w:w="1989" w:type="dxa"/>
            <w:vAlign w:val="center"/>
          </w:tcPr>
          <w:p w14:paraId="3DE4AA04">
            <w:pPr>
              <w:widowControl/>
              <w:jc w:val="center"/>
              <w:textAlignment w:val="center"/>
              <w:rPr>
                <w:rFonts w:ascii="宋体" w:hAnsi="宋体"/>
                <w:szCs w:val="20"/>
              </w:rPr>
            </w:pPr>
            <w:r>
              <w:rPr>
                <w:rFonts w:hint="eastAsia" w:ascii="宋体" w:hAnsi="宋体"/>
                <w:szCs w:val="20"/>
              </w:rPr>
              <w:t>POE交换机</w:t>
            </w:r>
          </w:p>
        </w:tc>
        <w:tc>
          <w:tcPr>
            <w:tcW w:w="4367" w:type="dxa"/>
            <w:shd w:val="clear" w:color="auto" w:fill="auto"/>
            <w:vAlign w:val="center"/>
          </w:tcPr>
          <w:p w14:paraId="427D9767">
            <w:pPr>
              <w:widowControl/>
              <w:jc w:val="left"/>
              <w:textAlignment w:val="center"/>
              <w:rPr>
                <w:rFonts w:ascii="宋体" w:hAnsi="宋体"/>
                <w:szCs w:val="20"/>
              </w:rPr>
            </w:pPr>
            <w:r>
              <w:rPr>
                <w:rFonts w:ascii="宋体" w:hAnsi="宋体"/>
                <w:szCs w:val="20"/>
              </w:rPr>
              <w:t>≥</w:t>
            </w:r>
            <w:r>
              <w:rPr>
                <w:rFonts w:hint="eastAsia" w:ascii="宋体" w:hAnsi="宋体"/>
                <w:szCs w:val="20"/>
              </w:rPr>
              <w:t>10口千兆</w:t>
            </w:r>
          </w:p>
        </w:tc>
        <w:tc>
          <w:tcPr>
            <w:tcW w:w="922" w:type="dxa"/>
            <w:vAlign w:val="center"/>
          </w:tcPr>
          <w:p w14:paraId="2C5A4BE5">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1DD53D34">
            <w:pPr>
              <w:widowControl/>
              <w:jc w:val="center"/>
              <w:textAlignment w:val="center"/>
              <w:rPr>
                <w:rFonts w:ascii="宋体" w:hAnsi="宋体"/>
                <w:szCs w:val="20"/>
              </w:rPr>
            </w:pPr>
            <w:r>
              <w:rPr>
                <w:rFonts w:hint="eastAsia" w:ascii="宋体" w:hAnsi="宋体"/>
                <w:szCs w:val="20"/>
              </w:rPr>
              <w:t>台</w:t>
            </w:r>
          </w:p>
        </w:tc>
      </w:tr>
      <w:tr w14:paraId="4C6FF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30C39F67">
            <w:pPr>
              <w:pStyle w:val="70"/>
              <w:widowControl/>
              <w:numPr>
                <w:ilvl w:val="0"/>
                <w:numId w:val="57"/>
              </w:numPr>
              <w:spacing w:line="240" w:lineRule="auto"/>
              <w:ind w:firstLineChars="0"/>
              <w:jc w:val="center"/>
              <w:rPr>
                <w:szCs w:val="20"/>
              </w:rPr>
            </w:pPr>
          </w:p>
        </w:tc>
        <w:tc>
          <w:tcPr>
            <w:tcW w:w="1989" w:type="dxa"/>
            <w:vAlign w:val="center"/>
          </w:tcPr>
          <w:p w14:paraId="32DAB8C5">
            <w:pPr>
              <w:widowControl/>
              <w:jc w:val="center"/>
              <w:textAlignment w:val="center"/>
              <w:rPr>
                <w:rFonts w:ascii="宋体" w:hAnsi="宋体"/>
                <w:szCs w:val="20"/>
              </w:rPr>
            </w:pPr>
            <w:r>
              <w:rPr>
                <w:rFonts w:hint="eastAsia" w:ascii="宋体" w:hAnsi="宋体"/>
                <w:szCs w:val="20"/>
              </w:rPr>
              <w:t>防尘漆</w:t>
            </w:r>
          </w:p>
        </w:tc>
        <w:tc>
          <w:tcPr>
            <w:tcW w:w="4367" w:type="dxa"/>
            <w:shd w:val="clear" w:color="auto" w:fill="auto"/>
            <w:vAlign w:val="center"/>
          </w:tcPr>
          <w:p w14:paraId="093A30D0">
            <w:pPr>
              <w:widowControl/>
              <w:jc w:val="left"/>
              <w:textAlignment w:val="center"/>
              <w:rPr>
                <w:rFonts w:ascii="宋体" w:hAnsi="宋体"/>
                <w:szCs w:val="20"/>
              </w:rPr>
            </w:pPr>
            <w:r>
              <w:rPr>
                <w:rFonts w:hint="eastAsia" w:ascii="宋体" w:hAnsi="宋体"/>
                <w:szCs w:val="20"/>
              </w:rPr>
              <w:t>要求“防尘、防静电、防潮、无甲醛”</w:t>
            </w:r>
          </w:p>
        </w:tc>
        <w:tc>
          <w:tcPr>
            <w:tcW w:w="922" w:type="dxa"/>
            <w:vAlign w:val="center"/>
          </w:tcPr>
          <w:p w14:paraId="3629F9D4">
            <w:pPr>
              <w:widowControl/>
              <w:jc w:val="center"/>
              <w:textAlignment w:val="center"/>
              <w:rPr>
                <w:rFonts w:ascii="宋体" w:hAnsi="宋体"/>
                <w:szCs w:val="20"/>
              </w:rPr>
            </w:pPr>
            <w:r>
              <w:rPr>
                <w:rFonts w:hint="eastAsia" w:ascii="宋体" w:hAnsi="宋体"/>
                <w:szCs w:val="20"/>
              </w:rPr>
              <w:t>72</w:t>
            </w:r>
          </w:p>
        </w:tc>
        <w:tc>
          <w:tcPr>
            <w:tcW w:w="820" w:type="dxa"/>
            <w:vAlign w:val="center"/>
          </w:tcPr>
          <w:p w14:paraId="36B53E24">
            <w:pPr>
              <w:widowControl/>
              <w:jc w:val="center"/>
              <w:textAlignment w:val="center"/>
              <w:rPr>
                <w:rFonts w:ascii="宋体" w:hAnsi="宋体"/>
                <w:szCs w:val="20"/>
              </w:rPr>
            </w:pPr>
            <w:r>
              <w:rPr>
                <w:rFonts w:hint="eastAsia" w:ascii="宋体" w:hAnsi="宋体"/>
                <w:szCs w:val="20"/>
              </w:rPr>
              <w:t>平方米</w:t>
            </w:r>
          </w:p>
        </w:tc>
      </w:tr>
      <w:tr w14:paraId="74CE2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245DCE63">
            <w:pPr>
              <w:pStyle w:val="70"/>
              <w:widowControl/>
              <w:numPr>
                <w:ilvl w:val="0"/>
                <w:numId w:val="57"/>
              </w:numPr>
              <w:spacing w:line="240" w:lineRule="auto"/>
              <w:ind w:firstLineChars="0"/>
              <w:jc w:val="center"/>
              <w:rPr>
                <w:szCs w:val="20"/>
              </w:rPr>
            </w:pPr>
          </w:p>
        </w:tc>
        <w:tc>
          <w:tcPr>
            <w:tcW w:w="1989" w:type="dxa"/>
            <w:vAlign w:val="center"/>
          </w:tcPr>
          <w:p w14:paraId="40C78245">
            <w:pPr>
              <w:widowControl/>
              <w:jc w:val="center"/>
              <w:textAlignment w:val="center"/>
              <w:rPr>
                <w:rFonts w:ascii="宋体" w:hAnsi="宋体"/>
                <w:szCs w:val="20"/>
              </w:rPr>
            </w:pPr>
            <w:r>
              <w:rPr>
                <w:rFonts w:hint="eastAsia" w:ascii="宋体" w:hAnsi="宋体"/>
                <w:szCs w:val="20"/>
              </w:rPr>
              <w:t>陶瓷静电地板</w:t>
            </w:r>
          </w:p>
        </w:tc>
        <w:tc>
          <w:tcPr>
            <w:tcW w:w="4367" w:type="dxa"/>
            <w:shd w:val="clear" w:color="auto" w:fill="auto"/>
            <w:vAlign w:val="center"/>
          </w:tcPr>
          <w:p w14:paraId="457DEB91">
            <w:pPr>
              <w:widowControl/>
              <w:jc w:val="left"/>
              <w:textAlignment w:val="center"/>
              <w:rPr>
                <w:rFonts w:ascii="宋体" w:hAnsi="宋体"/>
                <w:szCs w:val="20"/>
              </w:rPr>
            </w:pPr>
            <w:r>
              <w:rPr>
                <w:rFonts w:hint="eastAsia" w:ascii="宋体" w:hAnsi="宋体"/>
                <w:szCs w:val="20"/>
              </w:rPr>
              <w:t>硬质钢材</w:t>
            </w:r>
          </w:p>
          <w:p w14:paraId="1CEA1E16">
            <w:pPr>
              <w:widowControl/>
              <w:jc w:val="left"/>
              <w:textAlignment w:val="center"/>
              <w:rPr>
                <w:rFonts w:ascii="宋体" w:hAnsi="宋体"/>
                <w:szCs w:val="20"/>
              </w:rPr>
            </w:pPr>
            <w:r>
              <w:rPr>
                <w:rFonts w:hint="eastAsia" w:ascii="宋体" w:hAnsi="宋体"/>
                <w:szCs w:val="20"/>
              </w:rPr>
              <w:t>尺寸</w:t>
            </w:r>
            <w:r>
              <w:rPr>
                <w:rFonts w:ascii="宋体" w:hAnsi="宋体"/>
                <w:szCs w:val="20"/>
              </w:rPr>
              <w:t>≥</w:t>
            </w:r>
            <w:r>
              <w:rPr>
                <w:rFonts w:hint="eastAsia" w:ascii="宋体" w:hAnsi="宋体"/>
                <w:szCs w:val="20"/>
              </w:rPr>
              <w:t>600*600*40mm</w:t>
            </w:r>
          </w:p>
          <w:p w14:paraId="5D368EB6">
            <w:pPr>
              <w:widowControl/>
              <w:jc w:val="left"/>
              <w:textAlignment w:val="center"/>
              <w:rPr>
                <w:rFonts w:ascii="宋体" w:hAnsi="宋体"/>
                <w:szCs w:val="20"/>
              </w:rPr>
            </w:pPr>
            <w:r>
              <w:rPr>
                <w:rFonts w:hint="eastAsia" w:ascii="宋体" w:hAnsi="宋体"/>
                <w:szCs w:val="20"/>
              </w:rPr>
              <w:t>支架高度</w:t>
            </w:r>
            <w:r>
              <w:rPr>
                <w:rFonts w:ascii="宋体" w:hAnsi="宋体"/>
                <w:szCs w:val="20"/>
              </w:rPr>
              <w:t>≥</w:t>
            </w:r>
            <w:r>
              <w:rPr>
                <w:rFonts w:hint="eastAsia" w:ascii="宋体" w:hAnsi="宋体"/>
                <w:szCs w:val="20"/>
              </w:rPr>
              <w:t>25CM</w:t>
            </w:r>
          </w:p>
        </w:tc>
        <w:tc>
          <w:tcPr>
            <w:tcW w:w="922" w:type="dxa"/>
            <w:vAlign w:val="center"/>
          </w:tcPr>
          <w:p w14:paraId="31C992D9">
            <w:pPr>
              <w:widowControl/>
              <w:jc w:val="center"/>
              <w:textAlignment w:val="center"/>
              <w:rPr>
                <w:rFonts w:ascii="宋体" w:hAnsi="宋体"/>
                <w:szCs w:val="20"/>
              </w:rPr>
            </w:pPr>
            <w:r>
              <w:rPr>
                <w:rFonts w:hint="eastAsia" w:ascii="宋体" w:hAnsi="宋体"/>
                <w:szCs w:val="20"/>
              </w:rPr>
              <w:t>55</w:t>
            </w:r>
          </w:p>
        </w:tc>
        <w:tc>
          <w:tcPr>
            <w:tcW w:w="820" w:type="dxa"/>
            <w:vAlign w:val="center"/>
          </w:tcPr>
          <w:p w14:paraId="2119C749">
            <w:pPr>
              <w:widowControl/>
              <w:spacing w:line="240" w:lineRule="auto"/>
              <w:jc w:val="center"/>
              <w:rPr>
                <w:rFonts w:ascii="宋体" w:hAnsi="宋体"/>
                <w:szCs w:val="20"/>
              </w:rPr>
            </w:pPr>
            <w:r>
              <w:rPr>
                <w:rFonts w:hint="eastAsia" w:ascii="宋体" w:hAnsi="宋体"/>
                <w:szCs w:val="20"/>
              </w:rPr>
              <w:t>平方米</w:t>
            </w:r>
          </w:p>
        </w:tc>
      </w:tr>
      <w:tr w14:paraId="03364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72D1CC90">
            <w:pPr>
              <w:pStyle w:val="70"/>
              <w:widowControl/>
              <w:numPr>
                <w:ilvl w:val="0"/>
                <w:numId w:val="57"/>
              </w:numPr>
              <w:spacing w:line="240" w:lineRule="auto"/>
              <w:ind w:firstLineChars="0"/>
              <w:jc w:val="center"/>
              <w:rPr>
                <w:szCs w:val="20"/>
              </w:rPr>
            </w:pPr>
          </w:p>
        </w:tc>
        <w:tc>
          <w:tcPr>
            <w:tcW w:w="1989" w:type="dxa"/>
            <w:vAlign w:val="center"/>
          </w:tcPr>
          <w:p w14:paraId="62812069">
            <w:pPr>
              <w:widowControl/>
              <w:jc w:val="center"/>
              <w:textAlignment w:val="center"/>
              <w:rPr>
                <w:rFonts w:ascii="宋体" w:hAnsi="宋体"/>
                <w:szCs w:val="20"/>
              </w:rPr>
            </w:pPr>
            <w:r>
              <w:rPr>
                <w:rFonts w:hint="eastAsia" w:ascii="宋体" w:hAnsi="宋体"/>
                <w:szCs w:val="20"/>
              </w:rPr>
              <w:t>接地铜箔</w:t>
            </w:r>
          </w:p>
        </w:tc>
        <w:tc>
          <w:tcPr>
            <w:tcW w:w="4367" w:type="dxa"/>
            <w:shd w:val="clear" w:color="auto" w:fill="auto"/>
            <w:vAlign w:val="center"/>
          </w:tcPr>
          <w:p w14:paraId="301171E4">
            <w:pPr>
              <w:widowControl/>
              <w:jc w:val="left"/>
              <w:textAlignment w:val="center"/>
              <w:rPr>
                <w:rFonts w:ascii="宋体" w:hAnsi="宋体"/>
                <w:szCs w:val="20"/>
              </w:rPr>
            </w:pPr>
            <w:r>
              <w:rPr>
                <w:rFonts w:ascii="宋体" w:hAnsi="宋体"/>
                <w:szCs w:val="20"/>
              </w:rPr>
              <w:t>≥</w:t>
            </w:r>
            <w:r>
              <w:rPr>
                <w:rFonts w:hint="eastAsia" w:ascii="宋体" w:hAnsi="宋体"/>
                <w:szCs w:val="20"/>
              </w:rPr>
              <w:t>0.06mm</w:t>
            </w:r>
          </w:p>
        </w:tc>
        <w:tc>
          <w:tcPr>
            <w:tcW w:w="922" w:type="dxa"/>
            <w:vAlign w:val="center"/>
          </w:tcPr>
          <w:p w14:paraId="210A1302">
            <w:pPr>
              <w:widowControl/>
              <w:jc w:val="center"/>
              <w:textAlignment w:val="center"/>
              <w:rPr>
                <w:rFonts w:ascii="宋体" w:hAnsi="宋体"/>
                <w:szCs w:val="20"/>
              </w:rPr>
            </w:pPr>
            <w:r>
              <w:rPr>
                <w:rFonts w:hint="eastAsia" w:ascii="宋体" w:hAnsi="宋体"/>
                <w:szCs w:val="20"/>
              </w:rPr>
              <w:t>150</w:t>
            </w:r>
          </w:p>
        </w:tc>
        <w:tc>
          <w:tcPr>
            <w:tcW w:w="820" w:type="dxa"/>
            <w:vAlign w:val="center"/>
          </w:tcPr>
          <w:p w14:paraId="17C4F0FA">
            <w:pPr>
              <w:widowControl/>
              <w:jc w:val="center"/>
              <w:textAlignment w:val="center"/>
              <w:rPr>
                <w:rFonts w:ascii="宋体" w:hAnsi="宋体"/>
                <w:szCs w:val="20"/>
              </w:rPr>
            </w:pPr>
            <w:r>
              <w:rPr>
                <w:rFonts w:hint="eastAsia" w:ascii="宋体" w:hAnsi="宋体"/>
                <w:szCs w:val="20"/>
              </w:rPr>
              <w:t>米</w:t>
            </w:r>
          </w:p>
        </w:tc>
      </w:tr>
      <w:tr w14:paraId="6B5DD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3F0708C5">
            <w:pPr>
              <w:pStyle w:val="70"/>
              <w:widowControl/>
              <w:numPr>
                <w:ilvl w:val="0"/>
                <w:numId w:val="57"/>
              </w:numPr>
              <w:spacing w:line="240" w:lineRule="auto"/>
              <w:ind w:firstLineChars="0"/>
              <w:jc w:val="center"/>
              <w:rPr>
                <w:szCs w:val="20"/>
              </w:rPr>
            </w:pPr>
          </w:p>
        </w:tc>
        <w:tc>
          <w:tcPr>
            <w:tcW w:w="1989" w:type="dxa"/>
            <w:vAlign w:val="center"/>
          </w:tcPr>
          <w:p w14:paraId="37960205">
            <w:pPr>
              <w:widowControl/>
              <w:jc w:val="center"/>
              <w:textAlignment w:val="center"/>
              <w:rPr>
                <w:rFonts w:ascii="宋体" w:hAnsi="宋体"/>
                <w:szCs w:val="20"/>
              </w:rPr>
            </w:pPr>
            <w:r>
              <w:rPr>
                <w:rFonts w:hint="eastAsia" w:ascii="宋体" w:hAnsi="宋体"/>
                <w:szCs w:val="20"/>
              </w:rPr>
              <w:t>不锈钢压条</w:t>
            </w:r>
          </w:p>
        </w:tc>
        <w:tc>
          <w:tcPr>
            <w:tcW w:w="4367" w:type="dxa"/>
            <w:shd w:val="clear" w:color="auto" w:fill="auto"/>
            <w:vAlign w:val="center"/>
          </w:tcPr>
          <w:p w14:paraId="158DCA30">
            <w:pPr>
              <w:widowControl/>
              <w:jc w:val="left"/>
              <w:textAlignment w:val="center"/>
              <w:rPr>
                <w:rFonts w:ascii="宋体" w:hAnsi="宋体"/>
                <w:szCs w:val="20"/>
              </w:rPr>
            </w:pPr>
            <w:r>
              <w:rPr>
                <w:rFonts w:hint="eastAsia" w:ascii="宋体" w:hAnsi="宋体"/>
                <w:szCs w:val="20"/>
              </w:rPr>
              <w:t>材质：304不锈钢，内角</w:t>
            </w:r>
            <w:r>
              <w:rPr>
                <w:rFonts w:ascii="宋体" w:hAnsi="宋体"/>
                <w:szCs w:val="20"/>
              </w:rPr>
              <w:t>≥</w:t>
            </w:r>
            <w:r>
              <w:rPr>
                <w:rFonts w:hint="eastAsia" w:ascii="宋体" w:hAnsi="宋体"/>
                <w:szCs w:val="20"/>
              </w:rPr>
              <w:t>0.01mm</w:t>
            </w:r>
          </w:p>
        </w:tc>
        <w:tc>
          <w:tcPr>
            <w:tcW w:w="922" w:type="dxa"/>
            <w:vAlign w:val="center"/>
          </w:tcPr>
          <w:p w14:paraId="2A4C5130">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1FAAFC84">
            <w:pPr>
              <w:widowControl/>
              <w:jc w:val="center"/>
              <w:textAlignment w:val="center"/>
              <w:rPr>
                <w:rFonts w:ascii="宋体" w:hAnsi="宋体"/>
                <w:szCs w:val="20"/>
              </w:rPr>
            </w:pPr>
            <w:r>
              <w:rPr>
                <w:rFonts w:hint="eastAsia" w:ascii="宋体" w:hAnsi="宋体"/>
                <w:szCs w:val="20"/>
              </w:rPr>
              <w:t>套</w:t>
            </w:r>
          </w:p>
        </w:tc>
      </w:tr>
      <w:tr w14:paraId="5CF2F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4D00CCFE">
            <w:pPr>
              <w:pStyle w:val="70"/>
              <w:widowControl/>
              <w:numPr>
                <w:ilvl w:val="0"/>
                <w:numId w:val="57"/>
              </w:numPr>
              <w:spacing w:line="240" w:lineRule="auto"/>
              <w:ind w:firstLineChars="0"/>
              <w:jc w:val="center"/>
              <w:rPr>
                <w:szCs w:val="20"/>
              </w:rPr>
            </w:pPr>
          </w:p>
        </w:tc>
        <w:tc>
          <w:tcPr>
            <w:tcW w:w="1989" w:type="dxa"/>
            <w:vAlign w:val="center"/>
          </w:tcPr>
          <w:p w14:paraId="029BDF3E">
            <w:pPr>
              <w:widowControl/>
              <w:jc w:val="center"/>
              <w:textAlignment w:val="center"/>
              <w:rPr>
                <w:rFonts w:ascii="宋体" w:hAnsi="宋体"/>
                <w:szCs w:val="20"/>
              </w:rPr>
            </w:pPr>
            <w:r>
              <w:rPr>
                <w:rFonts w:hint="eastAsia" w:ascii="宋体" w:hAnsi="宋体"/>
                <w:szCs w:val="20"/>
              </w:rPr>
              <w:t>开放式网格桥架</w:t>
            </w:r>
          </w:p>
        </w:tc>
        <w:tc>
          <w:tcPr>
            <w:tcW w:w="4367" w:type="dxa"/>
            <w:shd w:val="clear" w:color="auto" w:fill="auto"/>
            <w:vAlign w:val="center"/>
          </w:tcPr>
          <w:p w14:paraId="5F9DE46B">
            <w:pPr>
              <w:widowControl/>
              <w:jc w:val="left"/>
              <w:textAlignment w:val="center"/>
              <w:rPr>
                <w:rFonts w:ascii="宋体" w:hAnsi="宋体"/>
                <w:szCs w:val="20"/>
              </w:rPr>
            </w:pPr>
            <w:r>
              <w:rPr>
                <w:rFonts w:ascii="宋体" w:hAnsi="宋体"/>
                <w:szCs w:val="20"/>
              </w:rPr>
              <w:t>≥</w:t>
            </w:r>
            <w:r>
              <w:rPr>
                <w:rFonts w:hint="eastAsia" w:ascii="宋体" w:hAnsi="宋体"/>
                <w:szCs w:val="20"/>
              </w:rPr>
              <w:t>300*100mm</w:t>
            </w:r>
          </w:p>
        </w:tc>
        <w:tc>
          <w:tcPr>
            <w:tcW w:w="922" w:type="dxa"/>
            <w:vAlign w:val="center"/>
          </w:tcPr>
          <w:p w14:paraId="29FAE6BC">
            <w:pPr>
              <w:widowControl/>
              <w:jc w:val="center"/>
              <w:textAlignment w:val="center"/>
              <w:rPr>
                <w:rFonts w:ascii="宋体" w:hAnsi="宋体"/>
                <w:szCs w:val="20"/>
              </w:rPr>
            </w:pPr>
            <w:r>
              <w:rPr>
                <w:rFonts w:hint="eastAsia" w:ascii="宋体" w:hAnsi="宋体"/>
                <w:szCs w:val="20"/>
              </w:rPr>
              <w:t>50</w:t>
            </w:r>
          </w:p>
        </w:tc>
        <w:tc>
          <w:tcPr>
            <w:tcW w:w="820" w:type="dxa"/>
            <w:vAlign w:val="center"/>
          </w:tcPr>
          <w:p w14:paraId="1D49E25F">
            <w:pPr>
              <w:widowControl/>
              <w:jc w:val="center"/>
              <w:textAlignment w:val="center"/>
              <w:rPr>
                <w:rFonts w:ascii="宋体" w:hAnsi="宋体"/>
                <w:szCs w:val="20"/>
              </w:rPr>
            </w:pPr>
            <w:r>
              <w:rPr>
                <w:rFonts w:hint="eastAsia" w:ascii="宋体" w:hAnsi="宋体"/>
                <w:szCs w:val="20"/>
              </w:rPr>
              <w:t>米</w:t>
            </w:r>
          </w:p>
        </w:tc>
      </w:tr>
      <w:tr w14:paraId="4821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6D4FD785">
            <w:pPr>
              <w:pStyle w:val="70"/>
              <w:widowControl/>
              <w:numPr>
                <w:ilvl w:val="0"/>
                <w:numId w:val="57"/>
              </w:numPr>
              <w:spacing w:line="240" w:lineRule="auto"/>
              <w:ind w:firstLineChars="0"/>
              <w:jc w:val="center"/>
              <w:rPr>
                <w:szCs w:val="20"/>
              </w:rPr>
            </w:pPr>
          </w:p>
        </w:tc>
        <w:tc>
          <w:tcPr>
            <w:tcW w:w="1989" w:type="dxa"/>
            <w:vAlign w:val="center"/>
          </w:tcPr>
          <w:p w14:paraId="74C17672">
            <w:pPr>
              <w:widowControl/>
              <w:jc w:val="center"/>
              <w:textAlignment w:val="center"/>
              <w:rPr>
                <w:rFonts w:ascii="宋体" w:hAnsi="宋体"/>
                <w:szCs w:val="20"/>
              </w:rPr>
            </w:pPr>
            <w:r>
              <w:rPr>
                <w:rFonts w:hint="eastAsia" w:ascii="宋体" w:hAnsi="宋体"/>
                <w:szCs w:val="20"/>
              </w:rPr>
              <w:t>其他及辅材</w:t>
            </w:r>
          </w:p>
        </w:tc>
        <w:tc>
          <w:tcPr>
            <w:tcW w:w="4367" w:type="dxa"/>
            <w:vAlign w:val="center"/>
          </w:tcPr>
          <w:p w14:paraId="4C173B92">
            <w:pPr>
              <w:widowControl/>
              <w:jc w:val="left"/>
              <w:textAlignment w:val="center"/>
              <w:rPr>
                <w:rFonts w:ascii="宋体" w:hAnsi="宋体"/>
                <w:szCs w:val="20"/>
              </w:rPr>
            </w:pPr>
            <w:r>
              <w:rPr>
                <w:rFonts w:hint="eastAsia" w:ascii="宋体" w:hAnsi="宋体"/>
                <w:szCs w:val="20"/>
              </w:rPr>
              <w:t>网络桥架所需要的辅助材料</w:t>
            </w:r>
          </w:p>
        </w:tc>
        <w:tc>
          <w:tcPr>
            <w:tcW w:w="922" w:type="dxa"/>
            <w:vAlign w:val="center"/>
          </w:tcPr>
          <w:p w14:paraId="75CF4FBD">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39C33FF1">
            <w:pPr>
              <w:widowControl/>
              <w:jc w:val="center"/>
              <w:textAlignment w:val="center"/>
              <w:rPr>
                <w:rFonts w:ascii="宋体" w:hAnsi="宋体"/>
                <w:szCs w:val="20"/>
              </w:rPr>
            </w:pPr>
            <w:r>
              <w:rPr>
                <w:rFonts w:hint="eastAsia" w:ascii="宋体" w:hAnsi="宋体"/>
                <w:szCs w:val="20"/>
              </w:rPr>
              <w:t>批</w:t>
            </w:r>
          </w:p>
        </w:tc>
      </w:tr>
      <w:tr w14:paraId="69F17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20D0DF0D">
            <w:pPr>
              <w:pStyle w:val="70"/>
              <w:widowControl/>
              <w:numPr>
                <w:ilvl w:val="0"/>
                <w:numId w:val="57"/>
              </w:numPr>
              <w:spacing w:line="240" w:lineRule="auto"/>
              <w:ind w:firstLineChars="0"/>
              <w:jc w:val="center"/>
              <w:rPr>
                <w:szCs w:val="20"/>
              </w:rPr>
            </w:pPr>
          </w:p>
        </w:tc>
        <w:tc>
          <w:tcPr>
            <w:tcW w:w="1989" w:type="dxa"/>
            <w:vAlign w:val="center"/>
          </w:tcPr>
          <w:p w14:paraId="0F8BDAF9">
            <w:pPr>
              <w:widowControl/>
              <w:jc w:val="center"/>
              <w:textAlignment w:val="center"/>
              <w:rPr>
                <w:rFonts w:ascii="宋体" w:hAnsi="宋体"/>
                <w:szCs w:val="20"/>
              </w:rPr>
            </w:pPr>
            <w:r>
              <w:rPr>
                <w:rFonts w:hint="eastAsia" w:ascii="宋体" w:hAnsi="宋体"/>
                <w:szCs w:val="20"/>
              </w:rPr>
              <w:t>电源线</w:t>
            </w:r>
          </w:p>
        </w:tc>
        <w:tc>
          <w:tcPr>
            <w:tcW w:w="4367" w:type="dxa"/>
            <w:vAlign w:val="center"/>
          </w:tcPr>
          <w:p w14:paraId="66369922">
            <w:pPr>
              <w:widowControl/>
              <w:jc w:val="left"/>
              <w:textAlignment w:val="center"/>
              <w:rPr>
                <w:rFonts w:hint="eastAsia" w:ascii="宋体" w:hAnsi="宋体"/>
                <w:szCs w:val="20"/>
              </w:rPr>
            </w:pPr>
            <w:r>
              <w:rPr>
                <w:rFonts w:ascii="宋体" w:hAnsi="宋体"/>
                <w:szCs w:val="20"/>
              </w:rPr>
              <w:t>≥</w:t>
            </w:r>
            <w:r>
              <w:rPr>
                <w:rFonts w:hint="eastAsia" w:ascii="宋体" w:hAnsi="宋体"/>
                <w:szCs w:val="20"/>
              </w:rPr>
              <w:t>3*2</w:t>
            </w:r>
          </w:p>
          <w:p w14:paraId="749E2C2C">
            <w:pPr>
              <w:widowControl/>
              <w:jc w:val="left"/>
              <w:textAlignment w:val="center"/>
              <w:rPr>
                <w:rFonts w:ascii="宋体" w:hAnsi="宋体"/>
                <w:szCs w:val="20"/>
              </w:rPr>
            </w:pPr>
            <w:r>
              <w:rPr>
                <w:rFonts w:hint="eastAsia" w:ascii="宋体" w:hAnsi="宋体"/>
                <w:szCs w:val="20"/>
              </w:rPr>
              <w:t>5+2铜缆  国标线</w:t>
            </w:r>
          </w:p>
        </w:tc>
        <w:tc>
          <w:tcPr>
            <w:tcW w:w="922" w:type="dxa"/>
            <w:vAlign w:val="center"/>
          </w:tcPr>
          <w:p w14:paraId="23D1E8D0">
            <w:pPr>
              <w:widowControl/>
              <w:jc w:val="center"/>
              <w:textAlignment w:val="center"/>
              <w:rPr>
                <w:rFonts w:ascii="宋体" w:hAnsi="宋体"/>
                <w:szCs w:val="20"/>
              </w:rPr>
            </w:pPr>
            <w:r>
              <w:rPr>
                <w:rFonts w:hint="eastAsia" w:ascii="宋体" w:hAnsi="宋体"/>
                <w:szCs w:val="20"/>
              </w:rPr>
              <w:t>100</w:t>
            </w:r>
          </w:p>
        </w:tc>
        <w:tc>
          <w:tcPr>
            <w:tcW w:w="820" w:type="dxa"/>
            <w:vAlign w:val="center"/>
          </w:tcPr>
          <w:p w14:paraId="492411EB">
            <w:pPr>
              <w:widowControl/>
              <w:spacing w:line="240" w:lineRule="auto"/>
              <w:jc w:val="center"/>
              <w:rPr>
                <w:rFonts w:ascii="宋体" w:hAnsi="宋体"/>
                <w:szCs w:val="20"/>
              </w:rPr>
            </w:pPr>
            <w:r>
              <w:rPr>
                <w:rFonts w:hint="eastAsia" w:ascii="宋体" w:hAnsi="宋体"/>
                <w:szCs w:val="20"/>
              </w:rPr>
              <w:t>米</w:t>
            </w:r>
          </w:p>
        </w:tc>
      </w:tr>
      <w:tr w14:paraId="4FD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28F46000">
            <w:pPr>
              <w:pStyle w:val="70"/>
              <w:widowControl/>
              <w:numPr>
                <w:ilvl w:val="0"/>
                <w:numId w:val="57"/>
              </w:numPr>
              <w:spacing w:line="240" w:lineRule="auto"/>
              <w:ind w:firstLineChars="0"/>
              <w:jc w:val="center"/>
              <w:rPr>
                <w:szCs w:val="20"/>
              </w:rPr>
            </w:pPr>
          </w:p>
        </w:tc>
        <w:tc>
          <w:tcPr>
            <w:tcW w:w="1989" w:type="dxa"/>
            <w:vAlign w:val="center"/>
          </w:tcPr>
          <w:p w14:paraId="588DEFD4">
            <w:pPr>
              <w:widowControl/>
              <w:jc w:val="center"/>
              <w:textAlignment w:val="center"/>
              <w:rPr>
                <w:rFonts w:ascii="宋体" w:hAnsi="宋体"/>
                <w:szCs w:val="20"/>
              </w:rPr>
            </w:pPr>
            <w:r>
              <w:rPr>
                <w:rFonts w:hint="eastAsia" w:ascii="宋体" w:hAnsi="宋体"/>
                <w:szCs w:val="20"/>
              </w:rPr>
              <w:t>电源线</w:t>
            </w:r>
          </w:p>
        </w:tc>
        <w:tc>
          <w:tcPr>
            <w:tcW w:w="4367" w:type="dxa"/>
            <w:shd w:val="clear" w:color="auto" w:fill="auto"/>
            <w:vAlign w:val="center"/>
          </w:tcPr>
          <w:p w14:paraId="7675723D">
            <w:pPr>
              <w:widowControl/>
              <w:jc w:val="left"/>
              <w:textAlignment w:val="center"/>
              <w:rPr>
                <w:rFonts w:ascii="宋体" w:hAnsi="宋体"/>
                <w:szCs w:val="20"/>
              </w:rPr>
            </w:pPr>
            <w:r>
              <w:rPr>
                <w:rFonts w:ascii="宋体" w:hAnsi="宋体"/>
                <w:szCs w:val="20"/>
              </w:rPr>
              <w:t>≥</w:t>
            </w:r>
            <w:r>
              <w:rPr>
                <w:rFonts w:hint="eastAsia" w:ascii="宋体" w:hAnsi="宋体"/>
                <w:szCs w:val="20"/>
              </w:rPr>
              <w:t>3*16+2铜缆 国标线</w:t>
            </w:r>
          </w:p>
        </w:tc>
        <w:tc>
          <w:tcPr>
            <w:tcW w:w="922" w:type="dxa"/>
            <w:vAlign w:val="center"/>
          </w:tcPr>
          <w:p w14:paraId="54F6F94B">
            <w:pPr>
              <w:widowControl/>
              <w:jc w:val="center"/>
              <w:textAlignment w:val="center"/>
              <w:rPr>
                <w:rFonts w:ascii="宋体" w:hAnsi="宋体"/>
                <w:szCs w:val="20"/>
              </w:rPr>
            </w:pPr>
            <w:r>
              <w:rPr>
                <w:rFonts w:hint="eastAsia" w:ascii="宋体" w:hAnsi="宋体"/>
                <w:szCs w:val="20"/>
              </w:rPr>
              <w:t>30</w:t>
            </w:r>
          </w:p>
        </w:tc>
        <w:tc>
          <w:tcPr>
            <w:tcW w:w="820" w:type="dxa"/>
            <w:vAlign w:val="center"/>
          </w:tcPr>
          <w:p w14:paraId="1F7D5CD8">
            <w:pPr>
              <w:widowControl/>
              <w:spacing w:line="240" w:lineRule="auto"/>
              <w:jc w:val="center"/>
              <w:rPr>
                <w:rFonts w:ascii="宋体" w:hAnsi="宋体"/>
                <w:szCs w:val="20"/>
              </w:rPr>
            </w:pPr>
            <w:r>
              <w:rPr>
                <w:rFonts w:hint="eastAsia" w:ascii="宋体" w:hAnsi="宋体"/>
                <w:szCs w:val="20"/>
              </w:rPr>
              <w:t>米</w:t>
            </w:r>
          </w:p>
        </w:tc>
      </w:tr>
      <w:tr w14:paraId="61143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0CA2AFE0">
            <w:pPr>
              <w:pStyle w:val="70"/>
              <w:widowControl/>
              <w:numPr>
                <w:ilvl w:val="0"/>
                <w:numId w:val="57"/>
              </w:numPr>
              <w:spacing w:line="240" w:lineRule="auto"/>
              <w:ind w:firstLineChars="0"/>
              <w:jc w:val="center"/>
              <w:rPr>
                <w:szCs w:val="20"/>
              </w:rPr>
            </w:pPr>
          </w:p>
        </w:tc>
        <w:tc>
          <w:tcPr>
            <w:tcW w:w="1989" w:type="dxa"/>
            <w:vAlign w:val="center"/>
          </w:tcPr>
          <w:p w14:paraId="1A9974AC">
            <w:pPr>
              <w:widowControl/>
              <w:jc w:val="center"/>
              <w:textAlignment w:val="center"/>
              <w:rPr>
                <w:rFonts w:ascii="宋体" w:hAnsi="宋体"/>
                <w:szCs w:val="20"/>
              </w:rPr>
            </w:pPr>
            <w:r>
              <w:rPr>
                <w:rFonts w:hint="eastAsia" w:ascii="宋体" w:hAnsi="宋体"/>
                <w:szCs w:val="20"/>
              </w:rPr>
              <w:t>电源线</w:t>
            </w:r>
          </w:p>
        </w:tc>
        <w:tc>
          <w:tcPr>
            <w:tcW w:w="4367" w:type="dxa"/>
            <w:shd w:val="clear" w:color="auto" w:fill="auto"/>
            <w:vAlign w:val="center"/>
          </w:tcPr>
          <w:p w14:paraId="7D1B039A">
            <w:pPr>
              <w:widowControl/>
              <w:jc w:val="left"/>
              <w:textAlignment w:val="center"/>
              <w:rPr>
                <w:rFonts w:ascii="宋体" w:hAnsi="宋体"/>
                <w:szCs w:val="20"/>
              </w:rPr>
            </w:pPr>
            <w:r>
              <w:rPr>
                <w:rFonts w:hint="eastAsia" w:ascii="宋体" w:hAnsi="宋体"/>
                <w:szCs w:val="20"/>
              </w:rPr>
              <w:t>3*4 铜缆</w:t>
            </w:r>
          </w:p>
        </w:tc>
        <w:tc>
          <w:tcPr>
            <w:tcW w:w="922" w:type="dxa"/>
            <w:vAlign w:val="center"/>
          </w:tcPr>
          <w:p w14:paraId="6210AD8C">
            <w:pPr>
              <w:widowControl/>
              <w:jc w:val="center"/>
              <w:textAlignment w:val="center"/>
              <w:rPr>
                <w:rFonts w:ascii="宋体" w:hAnsi="宋体"/>
                <w:szCs w:val="20"/>
              </w:rPr>
            </w:pPr>
            <w:r>
              <w:rPr>
                <w:rFonts w:hint="eastAsia" w:ascii="宋体" w:hAnsi="宋体"/>
                <w:szCs w:val="20"/>
              </w:rPr>
              <w:t>800</w:t>
            </w:r>
          </w:p>
        </w:tc>
        <w:tc>
          <w:tcPr>
            <w:tcW w:w="820" w:type="dxa"/>
            <w:vAlign w:val="center"/>
          </w:tcPr>
          <w:p w14:paraId="6DB7C9F6">
            <w:pPr>
              <w:widowControl/>
              <w:spacing w:line="240" w:lineRule="auto"/>
              <w:jc w:val="center"/>
              <w:rPr>
                <w:rFonts w:ascii="宋体" w:hAnsi="宋体"/>
                <w:szCs w:val="20"/>
              </w:rPr>
            </w:pPr>
            <w:r>
              <w:rPr>
                <w:rFonts w:hint="eastAsia" w:ascii="宋体" w:hAnsi="宋体"/>
                <w:szCs w:val="20"/>
              </w:rPr>
              <w:t>米</w:t>
            </w:r>
          </w:p>
        </w:tc>
      </w:tr>
      <w:tr w14:paraId="2BCCE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0D1A5A66">
            <w:pPr>
              <w:pStyle w:val="70"/>
              <w:widowControl/>
              <w:numPr>
                <w:ilvl w:val="0"/>
                <w:numId w:val="57"/>
              </w:numPr>
              <w:spacing w:line="240" w:lineRule="auto"/>
              <w:ind w:firstLineChars="0"/>
              <w:jc w:val="center"/>
              <w:rPr>
                <w:szCs w:val="20"/>
              </w:rPr>
            </w:pPr>
          </w:p>
        </w:tc>
        <w:tc>
          <w:tcPr>
            <w:tcW w:w="1989" w:type="dxa"/>
            <w:vAlign w:val="center"/>
          </w:tcPr>
          <w:p w14:paraId="24952D02">
            <w:pPr>
              <w:widowControl/>
              <w:jc w:val="center"/>
              <w:textAlignment w:val="center"/>
              <w:rPr>
                <w:rFonts w:ascii="宋体" w:hAnsi="宋体"/>
                <w:szCs w:val="20"/>
              </w:rPr>
            </w:pPr>
            <w:r>
              <w:rPr>
                <w:rFonts w:hint="eastAsia" w:ascii="宋体" w:hAnsi="宋体"/>
                <w:szCs w:val="20"/>
              </w:rPr>
              <w:t>强电动力柜</w:t>
            </w:r>
          </w:p>
        </w:tc>
        <w:tc>
          <w:tcPr>
            <w:tcW w:w="4367" w:type="dxa"/>
            <w:shd w:val="clear" w:color="auto" w:fill="auto"/>
            <w:vAlign w:val="center"/>
          </w:tcPr>
          <w:p w14:paraId="2BAB1592">
            <w:pPr>
              <w:widowControl/>
              <w:jc w:val="left"/>
              <w:textAlignment w:val="center"/>
              <w:rPr>
                <w:rFonts w:ascii="宋体" w:hAnsi="宋体"/>
                <w:szCs w:val="20"/>
              </w:rPr>
            </w:pPr>
            <w:r>
              <w:rPr>
                <w:rFonts w:hint="eastAsia" w:ascii="宋体" w:hAnsi="宋体"/>
                <w:szCs w:val="20"/>
              </w:rPr>
              <w:t>总控</w:t>
            </w:r>
            <w:r>
              <w:rPr>
                <w:rFonts w:ascii="宋体" w:hAnsi="宋体"/>
                <w:szCs w:val="20"/>
              </w:rPr>
              <w:t>≥</w:t>
            </w:r>
            <w:r>
              <w:rPr>
                <w:rFonts w:hint="eastAsia" w:ascii="宋体" w:hAnsi="宋体"/>
                <w:szCs w:val="20"/>
              </w:rPr>
              <w:t>2个，双路自动切换器</w:t>
            </w:r>
            <w:r>
              <w:rPr>
                <w:rFonts w:ascii="宋体" w:hAnsi="宋体"/>
                <w:szCs w:val="20"/>
              </w:rPr>
              <w:t>≥</w:t>
            </w:r>
            <w:r>
              <w:rPr>
                <w:rFonts w:hint="eastAsia" w:ascii="宋体" w:hAnsi="宋体"/>
                <w:szCs w:val="20"/>
              </w:rPr>
              <w:t>1个，输出</w:t>
            </w:r>
            <w:r>
              <w:rPr>
                <w:rFonts w:ascii="宋体" w:hAnsi="宋体"/>
                <w:szCs w:val="20"/>
              </w:rPr>
              <w:t>≥</w:t>
            </w:r>
            <w:r>
              <w:rPr>
                <w:rFonts w:hint="eastAsia" w:ascii="宋体" w:hAnsi="宋体"/>
                <w:szCs w:val="20"/>
              </w:rPr>
              <w:t>2路，备用</w:t>
            </w:r>
            <w:r>
              <w:rPr>
                <w:rFonts w:ascii="宋体" w:hAnsi="宋体"/>
                <w:szCs w:val="20"/>
              </w:rPr>
              <w:t>≥</w:t>
            </w:r>
            <w:r>
              <w:rPr>
                <w:rFonts w:hint="eastAsia" w:ascii="宋体" w:hAnsi="宋体"/>
                <w:szCs w:val="20"/>
              </w:rPr>
              <w:t>2路</w:t>
            </w:r>
          </w:p>
        </w:tc>
        <w:tc>
          <w:tcPr>
            <w:tcW w:w="922" w:type="dxa"/>
            <w:vAlign w:val="center"/>
          </w:tcPr>
          <w:p w14:paraId="2904CB0F">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35891F3C">
            <w:pPr>
              <w:widowControl/>
              <w:jc w:val="center"/>
              <w:textAlignment w:val="center"/>
              <w:rPr>
                <w:rFonts w:ascii="宋体" w:hAnsi="宋体"/>
                <w:szCs w:val="20"/>
              </w:rPr>
            </w:pPr>
            <w:r>
              <w:rPr>
                <w:rFonts w:hint="eastAsia" w:ascii="宋体" w:hAnsi="宋体"/>
                <w:szCs w:val="20"/>
              </w:rPr>
              <w:t>套</w:t>
            </w:r>
          </w:p>
        </w:tc>
      </w:tr>
      <w:tr w14:paraId="6DA41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572379A9">
            <w:pPr>
              <w:pStyle w:val="70"/>
              <w:widowControl/>
              <w:numPr>
                <w:ilvl w:val="0"/>
                <w:numId w:val="57"/>
              </w:numPr>
              <w:spacing w:line="240" w:lineRule="auto"/>
              <w:ind w:firstLineChars="0"/>
              <w:jc w:val="center"/>
              <w:rPr>
                <w:szCs w:val="20"/>
              </w:rPr>
            </w:pPr>
          </w:p>
        </w:tc>
        <w:tc>
          <w:tcPr>
            <w:tcW w:w="1989" w:type="dxa"/>
            <w:vAlign w:val="center"/>
          </w:tcPr>
          <w:p w14:paraId="036517CF">
            <w:pPr>
              <w:widowControl/>
              <w:jc w:val="center"/>
              <w:textAlignment w:val="center"/>
              <w:rPr>
                <w:rFonts w:ascii="宋体" w:hAnsi="宋体"/>
                <w:szCs w:val="20"/>
              </w:rPr>
            </w:pPr>
            <w:r>
              <w:rPr>
                <w:rFonts w:hint="eastAsia" w:ascii="宋体" w:hAnsi="宋体"/>
                <w:szCs w:val="20"/>
              </w:rPr>
              <w:t>强电动力柜支撑架</w:t>
            </w:r>
          </w:p>
        </w:tc>
        <w:tc>
          <w:tcPr>
            <w:tcW w:w="4367" w:type="dxa"/>
            <w:vAlign w:val="center"/>
          </w:tcPr>
          <w:p w14:paraId="1ABE4EA1">
            <w:pPr>
              <w:widowControl/>
              <w:jc w:val="left"/>
              <w:textAlignment w:val="center"/>
              <w:rPr>
                <w:rFonts w:ascii="宋体" w:hAnsi="宋体"/>
                <w:szCs w:val="20"/>
              </w:rPr>
            </w:pPr>
            <w:r>
              <w:rPr>
                <w:rFonts w:hint="eastAsia" w:ascii="宋体" w:hAnsi="宋体"/>
                <w:szCs w:val="20"/>
              </w:rPr>
              <w:t>承重要求</w:t>
            </w:r>
            <w:r>
              <w:rPr>
                <w:rFonts w:ascii="宋体" w:hAnsi="宋体"/>
                <w:szCs w:val="20"/>
              </w:rPr>
              <w:t>≥</w:t>
            </w:r>
            <w:r>
              <w:rPr>
                <w:rFonts w:hint="eastAsia" w:ascii="宋体" w:hAnsi="宋体"/>
                <w:szCs w:val="20"/>
              </w:rPr>
              <w:t>300KG</w:t>
            </w:r>
          </w:p>
        </w:tc>
        <w:tc>
          <w:tcPr>
            <w:tcW w:w="922" w:type="dxa"/>
            <w:vAlign w:val="center"/>
          </w:tcPr>
          <w:p w14:paraId="094789B5">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11463F53">
            <w:pPr>
              <w:widowControl/>
              <w:jc w:val="center"/>
              <w:textAlignment w:val="center"/>
              <w:rPr>
                <w:rFonts w:ascii="宋体" w:hAnsi="宋体"/>
                <w:szCs w:val="20"/>
              </w:rPr>
            </w:pPr>
            <w:r>
              <w:rPr>
                <w:rFonts w:hint="eastAsia" w:ascii="宋体" w:hAnsi="宋体"/>
                <w:szCs w:val="20"/>
              </w:rPr>
              <w:t>套</w:t>
            </w:r>
          </w:p>
        </w:tc>
      </w:tr>
      <w:tr w14:paraId="6975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269DA4CE">
            <w:pPr>
              <w:pStyle w:val="70"/>
              <w:widowControl/>
              <w:numPr>
                <w:ilvl w:val="0"/>
                <w:numId w:val="57"/>
              </w:numPr>
              <w:spacing w:line="240" w:lineRule="auto"/>
              <w:ind w:firstLineChars="0"/>
              <w:jc w:val="center"/>
              <w:rPr>
                <w:szCs w:val="20"/>
              </w:rPr>
            </w:pPr>
          </w:p>
        </w:tc>
        <w:tc>
          <w:tcPr>
            <w:tcW w:w="1989" w:type="dxa"/>
            <w:vAlign w:val="center"/>
          </w:tcPr>
          <w:p w14:paraId="5DB69370">
            <w:pPr>
              <w:widowControl/>
              <w:jc w:val="center"/>
              <w:textAlignment w:val="center"/>
              <w:rPr>
                <w:rFonts w:ascii="宋体" w:hAnsi="宋体"/>
                <w:szCs w:val="20"/>
              </w:rPr>
            </w:pPr>
            <w:r>
              <w:rPr>
                <w:rFonts w:hint="eastAsia" w:ascii="宋体" w:hAnsi="宋体"/>
                <w:szCs w:val="20"/>
              </w:rPr>
              <w:t>中心机房配电柜</w:t>
            </w:r>
          </w:p>
        </w:tc>
        <w:tc>
          <w:tcPr>
            <w:tcW w:w="4367" w:type="dxa"/>
            <w:shd w:val="clear" w:color="auto" w:fill="auto"/>
            <w:vAlign w:val="center"/>
          </w:tcPr>
          <w:p w14:paraId="2BC22799">
            <w:pPr>
              <w:widowControl/>
              <w:jc w:val="left"/>
              <w:textAlignment w:val="center"/>
              <w:rPr>
                <w:rFonts w:ascii="宋体" w:hAnsi="宋体"/>
                <w:szCs w:val="20"/>
              </w:rPr>
            </w:pPr>
            <w:r>
              <w:rPr>
                <w:rFonts w:hint="eastAsia" w:ascii="宋体" w:hAnsi="宋体"/>
                <w:szCs w:val="20"/>
              </w:rPr>
              <w:t>总控</w:t>
            </w:r>
            <w:r>
              <w:rPr>
                <w:rFonts w:ascii="宋体" w:hAnsi="宋体"/>
                <w:szCs w:val="20"/>
              </w:rPr>
              <w:t>≥</w:t>
            </w:r>
            <w:r>
              <w:rPr>
                <w:rFonts w:hint="eastAsia" w:ascii="宋体" w:hAnsi="宋体"/>
                <w:szCs w:val="20"/>
              </w:rPr>
              <w:t>2个，分控</w:t>
            </w:r>
            <w:r>
              <w:rPr>
                <w:rFonts w:ascii="宋体" w:hAnsi="宋体"/>
                <w:szCs w:val="20"/>
              </w:rPr>
              <w:t>≥</w:t>
            </w:r>
            <w:r>
              <w:rPr>
                <w:rFonts w:hint="eastAsia" w:ascii="宋体" w:hAnsi="宋体"/>
                <w:szCs w:val="20"/>
              </w:rPr>
              <w:t>24个</w:t>
            </w:r>
          </w:p>
        </w:tc>
        <w:tc>
          <w:tcPr>
            <w:tcW w:w="922" w:type="dxa"/>
            <w:vAlign w:val="center"/>
          </w:tcPr>
          <w:p w14:paraId="0878B660">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67F2EFEC">
            <w:pPr>
              <w:widowControl/>
              <w:jc w:val="center"/>
              <w:textAlignment w:val="center"/>
              <w:rPr>
                <w:rFonts w:ascii="宋体" w:hAnsi="宋体"/>
                <w:szCs w:val="20"/>
              </w:rPr>
            </w:pPr>
            <w:r>
              <w:rPr>
                <w:rFonts w:hint="eastAsia" w:ascii="宋体" w:hAnsi="宋体"/>
                <w:szCs w:val="20"/>
              </w:rPr>
              <w:t>套</w:t>
            </w:r>
          </w:p>
        </w:tc>
      </w:tr>
      <w:tr w14:paraId="3DF4F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60DBF924">
            <w:pPr>
              <w:pStyle w:val="70"/>
              <w:widowControl/>
              <w:numPr>
                <w:ilvl w:val="0"/>
                <w:numId w:val="57"/>
              </w:numPr>
              <w:spacing w:line="240" w:lineRule="auto"/>
              <w:ind w:firstLineChars="0"/>
              <w:jc w:val="center"/>
              <w:rPr>
                <w:szCs w:val="20"/>
              </w:rPr>
            </w:pPr>
          </w:p>
        </w:tc>
        <w:tc>
          <w:tcPr>
            <w:tcW w:w="1989" w:type="dxa"/>
            <w:vAlign w:val="center"/>
          </w:tcPr>
          <w:p w14:paraId="0215DCCA">
            <w:pPr>
              <w:widowControl/>
              <w:jc w:val="center"/>
              <w:textAlignment w:val="center"/>
              <w:rPr>
                <w:rFonts w:ascii="宋体" w:hAnsi="宋体"/>
                <w:szCs w:val="20"/>
              </w:rPr>
            </w:pPr>
            <w:r>
              <w:rPr>
                <w:rFonts w:hint="eastAsia" w:ascii="宋体" w:hAnsi="宋体"/>
                <w:szCs w:val="20"/>
              </w:rPr>
              <w:t>防火桥架</w:t>
            </w:r>
          </w:p>
        </w:tc>
        <w:tc>
          <w:tcPr>
            <w:tcW w:w="4367" w:type="dxa"/>
            <w:shd w:val="clear" w:color="auto" w:fill="auto"/>
            <w:vAlign w:val="center"/>
          </w:tcPr>
          <w:p w14:paraId="0C846694">
            <w:pPr>
              <w:widowControl/>
              <w:jc w:val="left"/>
              <w:textAlignment w:val="center"/>
              <w:rPr>
                <w:rFonts w:ascii="宋体" w:hAnsi="宋体"/>
                <w:szCs w:val="20"/>
              </w:rPr>
            </w:pPr>
            <w:r>
              <w:rPr>
                <w:rFonts w:ascii="宋体" w:hAnsi="宋体"/>
                <w:szCs w:val="20"/>
              </w:rPr>
              <w:t>≥</w:t>
            </w:r>
            <w:r>
              <w:rPr>
                <w:rFonts w:hint="eastAsia" w:ascii="宋体" w:hAnsi="宋体"/>
                <w:szCs w:val="20"/>
              </w:rPr>
              <w:t>200*100mm</w:t>
            </w:r>
          </w:p>
        </w:tc>
        <w:tc>
          <w:tcPr>
            <w:tcW w:w="922" w:type="dxa"/>
            <w:vAlign w:val="center"/>
          </w:tcPr>
          <w:p w14:paraId="06693A41">
            <w:pPr>
              <w:widowControl/>
              <w:jc w:val="center"/>
              <w:textAlignment w:val="center"/>
              <w:rPr>
                <w:rFonts w:ascii="宋体" w:hAnsi="宋体"/>
                <w:szCs w:val="20"/>
              </w:rPr>
            </w:pPr>
            <w:r>
              <w:rPr>
                <w:rFonts w:hint="eastAsia" w:ascii="宋体" w:hAnsi="宋体"/>
                <w:szCs w:val="20"/>
              </w:rPr>
              <w:t>110</w:t>
            </w:r>
          </w:p>
        </w:tc>
        <w:tc>
          <w:tcPr>
            <w:tcW w:w="820" w:type="dxa"/>
            <w:vAlign w:val="center"/>
          </w:tcPr>
          <w:p w14:paraId="6C717BC3">
            <w:pPr>
              <w:widowControl/>
              <w:spacing w:line="240" w:lineRule="auto"/>
              <w:jc w:val="center"/>
              <w:rPr>
                <w:rFonts w:ascii="宋体" w:hAnsi="宋体"/>
                <w:szCs w:val="20"/>
              </w:rPr>
            </w:pPr>
            <w:r>
              <w:rPr>
                <w:rFonts w:hint="eastAsia" w:ascii="宋体" w:hAnsi="宋体"/>
                <w:szCs w:val="20"/>
              </w:rPr>
              <w:t>米</w:t>
            </w:r>
          </w:p>
        </w:tc>
      </w:tr>
      <w:tr w14:paraId="2243E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6DA17A48">
            <w:pPr>
              <w:pStyle w:val="70"/>
              <w:widowControl/>
              <w:numPr>
                <w:ilvl w:val="0"/>
                <w:numId w:val="57"/>
              </w:numPr>
              <w:spacing w:line="240" w:lineRule="auto"/>
              <w:ind w:firstLineChars="0"/>
              <w:jc w:val="center"/>
              <w:rPr>
                <w:szCs w:val="20"/>
              </w:rPr>
            </w:pPr>
          </w:p>
        </w:tc>
        <w:tc>
          <w:tcPr>
            <w:tcW w:w="1989" w:type="dxa"/>
            <w:vAlign w:val="center"/>
          </w:tcPr>
          <w:p w14:paraId="378086C3">
            <w:pPr>
              <w:widowControl/>
              <w:jc w:val="center"/>
              <w:textAlignment w:val="center"/>
              <w:rPr>
                <w:rFonts w:ascii="宋体" w:hAnsi="宋体"/>
                <w:szCs w:val="20"/>
              </w:rPr>
            </w:pPr>
            <w:r>
              <w:rPr>
                <w:rFonts w:hint="eastAsia" w:ascii="宋体" w:hAnsi="宋体"/>
                <w:szCs w:val="20"/>
              </w:rPr>
              <w:t>机房迁移、光缆布线、熔接</w:t>
            </w:r>
          </w:p>
        </w:tc>
        <w:tc>
          <w:tcPr>
            <w:tcW w:w="4367" w:type="dxa"/>
            <w:shd w:val="clear" w:color="auto" w:fill="auto"/>
            <w:vAlign w:val="center"/>
          </w:tcPr>
          <w:p w14:paraId="3F675DE3">
            <w:pPr>
              <w:widowControl/>
              <w:jc w:val="left"/>
              <w:textAlignment w:val="center"/>
              <w:rPr>
                <w:rFonts w:ascii="宋体" w:hAnsi="宋体"/>
                <w:szCs w:val="20"/>
              </w:rPr>
            </w:pPr>
            <w:r>
              <w:rPr>
                <w:rFonts w:hint="eastAsia" w:ascii="宋体" w:hAnsi="宋体"/>
                <w:szCs w:val="20"/>
              </w:rPr>
              <w:t>含线材，设备下架，搬迁，设备上架，设备布线及理线，业务恢复，业务测试，、光缆布线、熔接等。</w:t>
            </w:r>
          </w:p>
        </w:tc>
        <w:tc>
          <w:tcPr>
            <w:tcW w:w="922" w:type="dxa"/>
            <w:vAlign w:val="center"/>
          </w:tcPr>
          <w:p w14:paraId="53416047">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2E5AFFC4">
            <w:pPr>
              <w:widowControl/>
              <w:spacing w:line="240" w:lineRule="auto"/>
              <w:jc w:val="center"/>
              <w:rPr>
                <w:rFonts w:ascii="宋体" w:hAnsi="宋体"/>
                <w:szCs w:val="20"/>
              </w:rPr>
            </w:pPr>
            <w:r>
              <w:rPr>
                <w:rFonts w:hint="eastAsia" w:ascii="宋体" w:hAnsi="宋体"/>
                <w:szCs w:val="20"/>
              </w:rPr>
              <w:t>项</w:t>
            </w:r>
          </w:p>
        </w:tc>
      </w:tr>
      <w:tr w14:paraId="3EB25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6D5F8097">
            <w:pPr>
              <w:pStyle w:val="70"/>
              <w:widowControl/>
              <w:numPr>
                <w:ilvl w:val="0"/>
                <w:numId w:val="57"/>
              </w:numPr>
              <w:spacing w:line="240" w:lineRule="auto"/>
              <w:ind w:firstLineChars="0"/>
              <w:jc w:val="center"/>
              <w:rPr>
                <w:szCs w:val="20"/>
              </w:rPr>
            </w:pPr>
          </w:p>
        </w:tc>
        <w:tc>
          <w:tcPr>
            <w:tcW w:w="1989" w:type="dxa"/>
            <w:vAlign w:val="center"/>
          </w:tcPr>
          <w:p w14:paraId="34662414">
            <w:pPr>
              <w:widowControl/>
              <w:jc w:val="center"/>
              <w:textAlignment w:val="center"/>
              <w:rPr>
                <w:rFonts w:ascii="宋体" w:hAnsi="宋体"/>
                <w:szCs w:val="20"/>
              </w:rPr>
            </w:pPr>
            <w:r>
              <w:rPr>
                <w:rFonts w:hint="eastAsia" w:ascii="宋体" w:hAnsi="宋体"/>
                <w:szCs w:val="20"/>
              </w:rPr>
              <w:t>柜式七氟丙烷灭火装置</w:t>
            </w:r>
          </w:p>
          <w:p w14:paraId="413E444A">
            <w:pPr>
              <w:widowControl/>
              <w:jc w:val="center"/>
              <w:textAlignment w:val="center"/>
              <w:rPr>
                <w:rFonts w:ascii="宋体" w:hAnsi="宋体"/>
                <w:szCs w:val="20"/>
              </w:rPr>
            </w:pPr>
            <w:r>
              <w:rPr>
                <w:rFonts w:hint="eastAsia" w:ascii="宋体" w:hAnsi="宋体"/>
                <w:szCs w:val="20"/>
              </w:rPr>
              <w:t>防护区：机房</w:t>
            </w:r>
          </w:p>
        </w:tc>
        <w:tc>
          <w:tcPr>
            <w:tcW w:w="4367" w:type="dxa"/>
            <w:shd w:val="clear" w:color="auto" w:fill="FFFFFF"/>
            <w:vAlign w:val="center"/>
          </w:tcPr>
          <w:p w14:paraId="02CFCB00">
            <w:pPr>
              <w:widowControl/>
              <w:jc w:val="left"/>
              <w:textAlignment w:val="center"/>
              <w:rPr>
                <w:rFonts w:ascii="宋体" w:hAnsi="宋体"/>
                <w:szCs w:val="20"/>
              </w:rPr>
            </w:pPr>
            <w:r>
              <w:rPr>
                <w:rFonts w:hint="eastAsia" w:ascii="宋体" w:hAnsi="宋体"/>
                <w:szCs w:val="20"/>
              </w:rPr>
              <w:t>贮存容积：</w:t>
            </w:r>
            <w:r>
              <w:rPr>
                <w:rFonts w:ascii="宋体" w:hAnsi="宋体"/>
                <w:szCs w:val="20"/>
              </w:rPr>
              <w:t>≥</w:t>
            </w:r>
            <w:r>
              <w:rPr>
                <w:rFonts w:hint="eastAsia" w:ascii="宋体" w:hAnsi="宋体"/>
                <w:szCs w:val="20"/>
              </w:rPr>
              <w:t>120L,贮存压力（20℃）：2.5MPa，启动电流/电压：DC24V/1.5A，工作温度范围：0-50℃</w:t>
            </w:r>
          </w:p>
          <w:p w14:paraId="16FCDDEF">
            <w:pPr>
              <w:widowControl/>
              <w:jc w:val="left"/>
              <w:textAlignment w:val="center"/>
              <w:rPr>
                <w:rFonts w:ascii="宋体" w:hAnsi="宋体"/>
                <w:szCs w:val="20"/>
              </w:rPr>
            </w:pPr>
            <w:r>
              <w:rPr>
                <w:rFonts w:hint="eastAsia" w:ascii="宋体" w:hAnsi="宋体"/>
                <w:szCs w:val="20"/>
              </w:rPr>
              <w:t>包含：箱体、钢瓶、虹吸管、容器阀、电磁启动器、压力表，信号反馈装置、高压软管、喷头等</w:t>
            </w:r>
          </w:p>
        </w:tc>
        <w:tc>
          <w:tcPr>
            <w:tcW w:w="922" w:type="dxa"/>
            <w:vAlign w:val="center"/>
          </w:tcPr>
          <w:p w14:paraId="2941121A">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248EB6D3">
            <w:pPr>
              <w:widowControl/>
              <w:jc w:val="center"/>
              <w:textAlignment w:val="center"/>
              <w:rPr>
                <w:rFonts w:ascii="宋体" w:hAnsi="宋体"/>
                <w:szCs w:val="20"/>
              </w:rPr>
            </w:pPr>
            <w:r>
              <w:rPr>
                <w:rFonts w:hint="eastAsia" w:ascii="宋体" w:hAnsi="宋体"/>
                <w:szCs w:val="20"/>
              </w:rPr>
              <w:t>套</w:t>
            </w:r>
          </w:p>
        </w:tc>
      </w:tr>
      <w:tr w14:paraId="3029A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57577285">
            <w:pPr>
              <w:pStyle w:val="70"/>
              <w:widowControl/>
              <w:numPr>
                <w:ilvl w:val="0"/>
                <w:numId w:val="57"/>
              </w:numPr>
              <w:spacing w:line="240" w:lineRule="auto"/>
              <w:ind w:firstLineChars="0"/>
              <w:jc w:val="center"/>
              <w:rPr>
                <w:szCs w:val="20"/>
              </w:rPr>
            </w:pPr>
          </w:p>
        </w:tc>
        <w:tc>
          <w:tcPr>
            <w:tcW w:w="1989" w:type="dxa"/>
            <w:vAlign w:val="center"/>
          </w:tcPr>
          <w:p w14:paraId="62EEA627">
            <w:pPr>
              <w:widowControl/>
              <w:jc w:val="center"/>
              <w:textAlignment w:val="center"/>
              <w:rPr>
                <w:rFonts w:ascii="宋体" w:hAnsi="宋体"/>
                <w:szCs w:val="20"/>
              </w:rPr>
            </w:pPr>
            <w:r>
              <w:rPr>
                <w:rFonts w:hint="eastAsia" w:ascii="宋体" w:hAnsi="宋体"/>
                <w:szCs w:val="20"/>
              </w:rPr>
              <w:t>柜式七氟丙烷灭火装置</w:t>
            </w:r>
          </w:p>
          <w:p w14:paraId="6FD4FB90">
            <w:pPr>
              <w:widowControl/>
              <w:jc w:val="center"/>
              <w:textAlignment w:val="center"/>
              <w:rPr>
                <w:rFonts w:ascii="宋体" w:hAnsi="宋体"/>
                <w:szCs w:val="20"/>
              </w:rPr>
            </w:pPr>
            <w:r>
              <w:rPr>
                <w:rFonts w:hint="eastAsia" w:ascii="宋体" w:hAnsi="宋体"/>
                <w:szCs w:val="20"/>
              </w:rPr>
              <w:t>防护区：UPS间</w:t>
            </w:r>
          </w:p>
        </w:tc>
        <w:tc>
          <w:tcPr>
            <w:tcW w:w="4367" w:type="dxa"/>
            <w:vAlign w:val="center"/>
          </w:tcPr>
          <w:p w14:paraId="3CDF9BFD">
            <w:pPr>
              <w:widowControl/>
              <w:jc w:val="left"/>
              <w:textAlignment w:val="center"/>
              <w:rPr>
                <w:rFonts w:ascii="宋体" w:hAnsi="宋体"/>
                <w:szCs w:val="20"/>
              </w:rPr>
            </w:pPr>
            <w:r>
              <w:rPr>
                <w:rFonts w:hint="eastAsia" w:ascii="宋体" w:hAnsi="宋体"/>
                <w:szCs w:val="20"/>
              </w:rPr>
              <w:t>贮存容积：</w:t>
            </w:r>
            <w:r>
              <w:rPr>
                <w:rFonts w:ascii="宋体" w:hAnsi="宋体"/>
                <w:szCs w:val="20"/>
              </w:rPr>
              <w:t>≥</w:t>
            </w:r>
            <w:r>
              <w:rPr>
                <w:rFonts w:hint="eastAsia" w:ascii="宋体" w:hAnsi="宋体"/>
                <w:szCs w:val="20"/>
              </w:rPr>
              <w:t>40L,贮存压力（20℃）：2.5MPa，启动电流/电压：DC24V/1.5A，工作温度范围：0-50℃</w:t>
            </w:r>
          </w:p>
          <w:p w14:paraId="6761D336">
            <w:pPr>
              <w:widowControl/>
              <w:jc w:val="left"/>
              <w:textAlignment w:val="center"/>
              <w:rPr>
                <w:rFonts w:ascii="宋体" w:hAnsi="宋体"/>
                <w:szCs w:val="20"/>
              </w:rPr>
            </w:pPr>
            <w:r>
              <w:rPr>
                <w:rFonts w:hint="eastAsia" w:ascii="宋体" w:hAnsi="宋体"/>
                <w:szCs w:val="20"/>
              </w:rPr>
              <w:t>包含：箱体、钢瓶、虹吸管、容器阀、电磁启动器、压力表，信号反馈装置、高压软管、喷头等</w:t>
            </w:r>
          </w:p>
        </w:tc>
        <w:tc>
          <w:tcPr>
            <w:tcW w:w="922" w:type="dxa"/>
            <w:vAlign w:val="center"/>
          </w:tcPr>
          <w:p w14:paraId="2595C411">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7AE5B4B5">
            <w:pPr>
              <w:widowControl/>
              <w:jc w:val="center"/>
              <w:textAlignment w:val="center"/>
              <w:rPr>
                <w:rFonts w:ascii="宋体" w:hAnsi="宋体"/>
                <w:szCs w:val="20"/>
              </w:rPr>
            </w:pPr>
            <w:r>
              <w:rPr>
                <w:rFonts w:hint="eastAsia" w:ascii="宋体" w:hAnsi="宋体"/>
                <w:szCs w:val="20"/>
              </w:rPr>
              <w:t>套</w:t>
            </w:r>
          </w:p>
        </w:tc>
      </w:tr>
      <w:tr w14:paraId="667CF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5F1899A2">
            <w:pPr>
              <w:pStyle w:val="70"/>
              <w:widowControl/>
              <w:numPr>
                <w:ilvl w:val="0"/>
                <w:numId w:val="57"/>
              </w:numPr>
              <w:spacing w:line="240" w:lineRule="auto"/>
              <w:ind w:firstLineChars="0"/>
              <w:jc w:val="center"/>
              <w:rPr>
                <w:szCs w:val="20"/>
              </w:rPr>
            </w:pPr>
          </w:p>
        </w:tc>
        <w:tc>
          <w:tcPr>
            <w:tcW w:w="1989" w:type="dxa"/>
            <w:vAlign w:val="center"/>
          </w:tcPr>
          <w:p w14:paraId="54951A31">
            <w:pPr>
              <w:widowControl/>
              <w:jc w:val="center"/>
              <w:textAlignment w:val="center"/>
              <w:rPr>
                <w:rFonts w:ascii="宋体" w:hAnsi="宋体"/>
                <w:szCs w:val="20"/>
              </w:rPr>
            </w:pPr>
            <w:r>
              <w:rPr>
                <w:rFonts w:hint="eastAsia" w:ascii="宋体" w:hAnsi="宋体"/>
                <w:szCs w:val="20"/>
              </w:rPr>
              <w:t>七氟丙烷药剂</w:t>
            </w:r>
          </w:p>
        </w:tc>
        <w:tc>
          <w:tcPr>
            <w:tcW w:w="4367" w:type="dxa"/>
            <w:shd w:val="clear" w:color="auto" w:fill="FFFFFF"/>
            <w:vAlign w:val="center"/>
          </w:tcPr>
          <w:p w14:paraId="1758ECF7">
            <w:pPr>
              <w:widowControl/>
              <w:jc w:val="left"/>
              <w:textAlignment w:val="center"/>
              <w:rPr>
                <w:rFonts w:ascii="宋体" w:hAnsi="宋体"/>
                <w:szCs w:val="20"/>
              </w:rPr>
            </w:pPr>
            <w:r>
              <w:rPr>
                <w:rFonts w:hint="eastAsia" w:ascii="宋体" w:hAnsi="宋体"/>
                <w:szCs w:val="20"/>
              </w:rPr>
              <w:t>电气灭火专用药剂</w:t>
            </w:r>
            <w:r>
              <w:rPr>
                <w:rFonts w:hint="eastAsia" w:ascii="宋体" w:hAnsi="宋体"/>
                <w:szCs w:val="20"/>
              </w:rPr>
              <w:tab/>
            </w:r>
            <w:r>
              <w:rPr>
                <w:rFonts w:hint="eastAsia" w:ascii="宋体" w:hAnsi="宋体"/>
                <w:szCs w:val="20"/>
              </w:rPr>
              <w:t>，无色、无味、环保。</w:t>
            </w:r>
          </w:p>
        </w:tc>
        <w:tc>
          <w:tcPr>
            <w:tcW w:w="922" w:type="dxa"/>
            <w:vAlign w:val="center"/>
          </w:tcPr>
          <w:p w14:paraId="5A2FAEB8">
            <w:pPr>
              <w:widowControl/>
              <w:jc w:val="center"/>
              <w:textAlignment w:val="center"/>
              <w:rPr>
                <w:rFonts w:ascii="宋体" w:hAnsi="宋体"/>
                <w:szCs w:val="20"/>
              </w:rPr>
            </w:pPr>
            <w:r>
              <w:rPr>
                <w:rFonts w:hint="eastAsia" w:ascii="宋体" w:hAnsi="宋体"/>
                <w:szCs w:val="20"/>
              </w:rPr>
              <w:t>160</w:t>
            </w:r>
          </w:p>
        </w:tc>
        <w:tc>
          <w:tcPr>
            <w:tcW w:w="820" w:type="dxa"/>
            <w:vAlign w:val="center"/>
          </w:tcPr>
          <w:p w14:paraId="2416995A">
            <w:pPr>
              <w:widowControl/>
              <w:jc w:val="center"/>
              <w:textAlignment w:val="center"/>
              <w:rPr>
                <w:rFonts w:ascii="宋体" w:hAnsi="宋体"/>
                <w:szCs w:val="20"/>
              </w:rPr>
            </w:pPr>
            <w:r>
              <w:rPr>
                <w:rFonts w:hint="eastAsia" w:ascii="宋体" w:hAnsi="宋体"/>
                <w:szCs w:val="20"/>
              </w:rPr>
              <w:t>KG</w:t>
            </w:r>
          </w:p>
        </w:tc>
      </w:tr>
      <w:tr w14:paraId="08C71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2891E14A">
            <w:pPr>
              <w:pStyle w:val="70"/>
              <w:widowControl/>
              <w:numPr>
                <w:ilvl w:val="0"/>
                <w:numId w:val="57"/>
              </w:numPr>
              <w:spacing w:line="240" w:lineRule="auto"/>
              <w:ind w:firstLineChars="0"/>
              <w:jc w:val="center"/>
              <w:rPr>
                <w:szCs w:val="20"/>
              </w:rPr>
            </w:pPr>
          </w:p>
        </w:tc>
        <w:tc>
          <w:tcPr>
            <w:tcW w:w="1989" w:type="dxa"/>
            <w:vAlign w:val="center"/>
          </w:tcPr>
          <w:p w14:paraId="5414052E">
            <w:pPr>
              <w:widowControl/>
              <w:jc w:val="center"/>
              <w:textAlignment w:val="center"/>
              <w:rPr>
                <w:rFonts w:ascii="宋体" w:hAnsi="宋体"/>
                <w:szCs w:val="20"/>
              </w:rPr>
            </w:pPr>
            <w:r>
              <w:rPr>
                <w:rFonts w:hint="eastAsia" w:ascii="宋体" w:hAnsi="宋体"/>
                <w:szCs w:val="20"/>
              </w:rPr>
              <w:t>泄压口</w:t>
            </w:r>
          </w:p>
        </w:tc>
        <w:tc>
          <w:tcPr>
            <w:tcW w:w="4367" w:type="dxa"/>
            <w:vAlign w:val="center"/>
          </w:tcPr>
          <w:p w14:paraId="241CB269">
            <w:pPr>
              <w:widowControl/>
              <w:jc w:val="left"/>
              <w:textAlignment w:val="center"/>
              <w:rPr>
                <w:rFonts w:ascii="宋体" w:hAnsi="宋体"/>
                <w:szCs w:val="20"/>
              </w:rPr>
            </w:pPr>
            <w:r>
              <w:rPr>
                <w:rFonts w:hint="eastAsia" w:ascii="宋体" w:hAnsi="宋体"/>
                <w:szCs w:val="20"/>
              </w:rPr>
              <w:t>规格尺寸：</w:t>
            </w:r>
            <w:r>
              <w:rPr>
                <w:rFonts w:ascii="宋体" w:hAnsi="宋体"/>
                <w:szCs w:val="20"/>
              </w:rPr>
              <w:t>≥</w:t>
            </w:r>
            <w:r>
              <w:rPr>
                <w:rFonts w:hint="eastAsia" w:ascii="宋体" w:hAnsi="宋体"/>
                <w:szCs w:val="20"/>
              </w:rPr>
              <w:t>300*300mm</w:t>
            </w:r>
          </w:p>
        </w:tc>
        <w:tc>
          <w:tcPr>
            <w:tcW w:w="922" w:type="dxa"/>
            <w:vAlign w:val="center"/>
          </w:tcPr>
          <w:p w14:paraId="564788D9">
            <w:pPr>
              <w:widowControl/>
              <w:jc w:val="center"/>
              <w:textAlignment w:val="center"/>
              <w:rPr>
                <w:rFonts w:ascii="宋体" w:hAnsi="宋体"/>
                <w:szCs w:val="20"/>
              </w:rPr>
            </w:pPr>
            <w:r>
              <w:rPr>
                <w:rFonts w:hint="eastAsia" w:ascii="宋体" w:hAnsi="宋体"/>
                <w:szCs w:val="20"/>
              </w:rPr>
              <w:t>2</w:t>
            </w:r>
          </w:p>
        </w:tc>
        <w:tc>
          <w:tcPr>
            <w:tcW w:w="820" w:type="dxa"/>
            <w:vAlign w:val="center"/>
          </w:tcPr>
          <w:p w14:paraId="443C2D25">
            <w:pPr>
              <w:widowControl/>
              <w:jc w:val="center"/>
              <w:textAlignment w:val="center"/>
              <w:rPr>
                <w:rFonts w:ascii="宋体" w:hAnsi="宋体"/>
                <w:szCs w:val="20"/>
              </w:rPr>
            </w:pPr>
            <w:r>
              <w:rPr>
                <w:rFonts w:hint="eastAsia" w:ascii="宋体" w:hAnsi="宋体"/>
                <w:szCs w:val="20"/>
              </w:rPr>
              <w:t>套</w:t>
            </w:r>
          </w:p>
        </w:tc>
      </w:tr>
      <w:tr w14:paraId="1F7FB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3A230FC0">
            <w:pPr>
              <w:pStyle w:val="70"/>
              <w:widowControl/>
              <w:numPr>
                <w:ilvl w:val="0"/>
                <w:numId w:val="57"/>
              </w:numPr>
              <w:spacing w:line="240" w:lineRule="auto"/>
              <w:ind w:firstLineChars="0"/>
              <w:jc w:val="center"/>
              <w:rPr>
                <w:szCs w:val="20"/>
              </w:rPr>
            </w:pPr>
          </w:p>
        </w:tc>
        <w:tc>
          <w:tcPr>
            <w:tcW w:w="1989" w:type="dxa"/>
            <w:vAlign w:val="center"/>
          </w:tcPr>
          <w:p w14:paraId="26F0588F">
            <w:pPr>
              <w:widowControl/>
              <w:jc w:val="center"/>
              <w:textAlignment w:val="center"/>
              <w:rPr>
                <w:rFonts w:ascii="宋体" w:hAnsi="宋体"/>
                <w:szCs w:val="20"/>
              </w:rPr>
            </w:pPr>
            <w:r>
              <w:rPr>
                <w:rFonts w:hint="eastAsia" w:ascii="宋体" w:hAnsi="宋体"/>
                <w:szCs w:val="20"/>
              </w:rPr>
              <w:t>感烟探测器（含底座）</w:t>
            </w:r>
          </w:p>
        </w:tc>
        <w:tc>
          <w:tcPr>
            <w:tcW w:w="4367" w:type="dxa"/>
            <w:vAlign w:val="center"/>
          </w:tcPr>
          <w:p w14:paraId="45C1659A">
            <w:pPr>
              <w:widowControl/>
              <w:jc w:val="left"/>
              <w:textAlignment w:val="center"/>
              <w:rPr>
                <w:rFonts w:ascii="宋体" w:hAnsi="宋体"/>
                <w:szCs w:val="20"/>
              </w:rPr>
            </w:pPr>
            <w:r>
              <w:rPr>
                <w:rFonts w:hint="eastAsia" w:ascii="宋体" w:hAnsi="宋体"/>
                <w:szCs w:val="20"/>
              </w:rPr>
              <w:t>智能型二总线，电子编码，内置CPU</w:t>
            </w:r>
          </w:p>
        </w:tc>
        <w:tc>
          <w:tcPr>
            <w:tcW w:w="922" w:type="dxa"/>
            <w:vAlign w:val="center"/>
          </w:tcPr>
          <w:p w14:paraId="2BD204CE">
            <w:pPr>
              <w:widowControl/>
              <w:jc w:val="center"/>
              <w:textAlignment w:val="center"/>
              <w:rPr>
                <w:rFonts w:ascii="宋体" w:hAnsi="宋体"/>
                <w:szCs w:val="20"/>
              </w:rPr>
            </w:pPr>
            <w:r>
              <w:rPr>
                <w:rFonts w:hint="eastAsia" w:ascii="宋体" w:hAnsi="宋体"/>
                <w:szCs w:val="20"/>
              </w:rPr>
              <w:t>3</w:t>
            </w:r>
          </w:p>
        </w:tc>
        <w:tc>
          <w:tcPr>
            <w:tcW w:w="820" w:type="dxa"/>
            <w:vAlign w:val="center"/>
          </w:tcPr>
          <w:p w14:paraId="75310047">
            <w:pPr>
              <w:widowControl/>
              <w:jc w:val="center"/>
              <w:textAlignment w:val="center"/>
              <w:rPr>
                <w:rFonts w:ascii="宋体" w:hAnsi="宋体"/>
                <w:szCs w:val="20"/>
              </w:rPr>
            </w:pPr>
            <w:r>
              <w:rPr>
                <w:rFonts w:hint="eastAsia" w:ascii="宋体" w:hAnsi="宋体"/>
                <w:szCs w:val="20"/>
              </w:rPr>
              <w:t>只</w:t>
            </w:r>
          </w:p>
        </w:tc>
      </w:tr>
      <w:tr w14:paraId="13154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7625D4E5">
            <w:pPr>
              <w:pStyle w:val="70"/>
              <w:widowControl/>
              <w:numPr>
                <w:ilvl w:val="0"/>
                <w:numId w:val="57"/>
              </w:numPr>
              <w:spacing w:line="240" w:lineRule="auto"/>
              <w:ind w:firstLineChars="0"/>
              <w:jc w:val="center"/>
              <w:rPr>
                <w:szCs w:val="20"/>
              </w:rPr>
            </w:pPr>
          </w:p>
        </w:tc>
        <w:tc>
          <w:tcPr>
            <w:tcW w:w="1989" w:type="dxa"/>
            <w:vAlign w:val="center"/>
          </w:tcPr>
          <w:p w14:paraId="2FBCC65B">
            <w:pPr>
              <w:widowControl/>
              <w:jc w:val="center"/>
              <w:textAlignment w:val="center"/>
              <w:rPr>
                <w:rFonts w:ascii="宋体" w:hAnsi="宋体"/>
                <w:szCs w:val="20"/>
              </w:rPr>
            </w:pPr>
            <w:r>
              <w:rPr>
                <w:rFonts w:hint="eastAsia" w:ascii="宋体" w:hAnsi="宋体"/>
                <w:szCs w:val="20"/>
              </w:rPr>
              <w:t>感温探测器（含底座）</w:t>
            </w:r>
          </w:p>
        </w:tc>
        <w:tc>
          <w:tcPr>
            <w:tcW w:w="4367" w:type="dxa"/>
            <w:vAlign w:val="center"/>
          </w:tcPr>
          <w:p w14:paraId="128F6180">
            <w:pPr>
              <w:widowControl/>
              <w:jc w:val="left"/>
              <w:textAlignment w:val="center"/>
              <w:rPr>
                <w:rFonts w:ascii="宋体" w:hAnsi="宋体"/>
                <w:szCs w:val="20"/>
              </w:rPr>
            </w:pPr>
            <w:r>
              <w:rPr>
                <w:rFonts w:hint="eastAsia" w:ascii="宋体" w:hAnsi="宋体"/>
                <w:szCs w:val="20"/>
              </w:rPr>
              <w:t>智能型二总线，电子编码，内置CPU</w:t>
            </w:r>
          </w:p>
        </w:tc>
        <w:tc>
          <w:tcPr>
            <w:tcW w:w="922" w:type="dxa"/>
            <w:vAlign w:val="center"/>
          </w:tcPr>
          <w:p w14:paraId="7C482C81">
            <w:pPr>
              <w:widowControl/>
              <w:jc w:val="center"/>
              <w:textAlignment w:val="center"/>
              <w:rPr>
                <w:rFonts w:ascii="宋体" w:hAnsi="宋体"/>
                <w:szCs w:val="20"/>
              </w:rPr>
            </w:pPr>
            <w:r>
              <w:rPr>
                <w:rFonts w:hint="eastAsia" w:ascii="宋体" w:hAnsi="宋体"/>
                <w:szCs w:val="20"/>
              </w:rPr>
              <w:t>3</w:t>
            </w:r>
          </w:p>
        </w:tc>
        <w:tc>
          <w:tcPr>
            <w:tcW w:w="820" w:type="dxa"/>
            <w:vAlign w:val="center"/>
          </w:tcPr>
          <w:p w14:paraId="62A1A9F9">
            <w:pPr>
              <w:widowControl/>
              <w:jc w:val="center"/>
              <w:textAlignment w:val="center"/>
              <w:rPr>
                <w:rFonts w:ascii="宋体" w:hAnsi="宋体"/>
                <w:szCs w:val="20"/>
              </w:rPr>
            </w:pPr>
            <w:r>
              <w:rPr>
                <w:rFonts w:hint="eastAsia" w:ascii="宋体" w:hAnsi="宋体"/>
                <w:szCs w:val="20"/>
              </w:rPr>
              <w:t>只</w:t>
            </w:r>
          </w:p>
        </w:tc>
      </w:tr>
      <w:tr w14:paraId="01265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412AAA21">
            <w:pPr>
              <w:pStyle w:val="70"/>
              <w:widowControl/>
              <w:numPr>
                <w:ilvl w:val="0"/>
                <w:numId w:val="57"/>
              </w:numPr>
              <w:spacing w:line="240" w:lineRule="auto"/>
              <w:ind w:firstLineChars="0"/>
              <w:jc w:val="center"/>
              <w:rPr>
                <w:szCs w:val="20"/>
              </w:rPr>
            </w:pPr>
          </w:p>
        </w:tc>
        <w:tc>
          <w:tcPr>
            <w:tcW w:w="1989" w:type="dxa"/>
            <w:vAlign w:val="center"/>
          </w:tcPr>
          <w:p w14:paraId="42DBF473">
            <w:pPr>
              <w:widowControl/>
              <w:jc w:val="center"/>
              <w:textAlignment w:val="center"/>
              <w:rPr>
                <w:rFonts w:ascii="宋体" w:hAnsi="宋体"/>
                <w:szCs w:val="20"/>
              </w:rPr>
            </w:pPr>
            <w:r>
              <w:rPr>
                <w:rFonts w:hint="eastAsia" w:ascii="宋体" w:hAnsi="宋体"/>
                <w:szCs w:val="20"/>
              </w:rPr>
              <w:t>智能声光警报器（含底座）</w:t>
            </w:r>
          </w:p>
        </w:tc>
        <w:tc>
          <w:tcPr>
            <w:tcW w:w="4367" w:type="dxa"/>
            <w:vAlign w:val="center"/>
          </w:tcPr>
          <w:p w14:paraId="7CC71AC0">
            <w:pPr>
              <w:widowControl/>
              <w:jc w:val="left"/>
              <w:textAlignment w:val="center"/>
              <w:rPr>
                <w:rFonts w:ascii="宋体" w:hAnsi="宋体"/>
                <w:szCs w:val="20"/>
              </w:rPr>
            </w:pPr>
            <w:r>
              <w:rPr>
                <w:rFonts w:hint="eastAsia" w:ascii="宋体" w:hAnsi="宋体"/>
                <w:szCs w:val="20"/>
              </w:rPr>
              <w:t>智能型二总线，不需24V供电，声和光报警</w:t>
            </w:r>
          </w:p>
        </w:tc>
        <w:tc>
          <w:tcPr>
            <w:tcW w:w="922" w:type="dxa"/>
            <w:vAlign w:val="center"/>
          </w:tcPr>
          <w:p w14:paraId="241EBE0F">
            <w:pPr>
              <w:widowControl/>
              <w:jc w:val="center"/>
              <w:textAlignment w:val="center"/>
              <w:rPr>
                <w:rFonts w:ascii="宋体" w:hAnsi="宋体"/>
                <w:szCs w:val="20"/>
              </w:rPr>
            </w:pPr>
            <w:r>
              <w:rPr>
                <w:rFonts w:hint="eastAsia" w:ascii="宋体" w:hAnsi="宋体"/>
                <w:szCs w:val="20"/>
              </w:rPr>
              <w:t>4</w:t>
            </w:r>
          </w:p>
        </w:tc>
        <w:tc>
          <w:tcPr>
            <w:tcW w:w="820" w:type="dxa"/>
            <w:vAlign w:val="center"/>
          </w:tcPr>
          <w:p w14:paraId="7E5290E1">
            <w:pPr>
              <w:widowControl/>
              <w:jc w:val="center"/>
              <w:textAlignment w:val="center"/>
              <w:rPr>
                <w:rFonts w:ascii="宋体" w:hAnsi="宋体"/>
                <w:szCs w:val="20"/>
              </w:rPr>
            </w:pPr>
            <w:r>
              <w:rPr>
                <w:rFonts w:hint="eastAsia" w:ascii="宋体" w:hAnsi="宋体"/>
                <w:szCs w:val="20"/>
              </w:rPr>
              <w:t>只</w:t>
            </w:r>
          </w:p>
        </w:tc>
      </w:tr>
      <w:tr w14:paraId="3E063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6289CE43">
            <w:pPr>
              <w:pStyle w:val="70"/>
              <w:widowControl/>
              <w:numPr>
                <w:ilvl w:val="0"/>
                <w:numId w:val="57"/>
              </w:numPr>
              <w:spacing w:line="240" w:lineRule="auto"/>
              <w:ind w:firstLineChars="0"/>
              <w:jc w:val="center"/>
              <w:rPr>
                <w:szCs w:val="20"/>
              </w:rPr>
            </w:pPr>
          </w:p>
        </w:tc>
        <w:tc>
          <w:tcPr>
            <w:tcW w:w="1989" w:type="dxa"/>
            <w:vAlign w:val="center"/>
          </w:tcPr>
          <w:p w14:paraId="2079E964">
            <w:pPr>
              <w:widowControl/>
              <w:jc w:val="center"/>
              <w:textAlignment w:val="center"/>
              <w:rPr>
                <w:rFonts w:ascii="宋体" w:hAnsi="宋体"/>
                <w:szCs w:val="20"/>
              </w:rPr>
            </w:pPr>
            <w:r>
              <w:rPr>
                <w:rFonts w:hint="eastAsia" w:ascii="宋体" w:hAnsi="宋体"/>
                <w:szCs w:val="20"/>
              </w:rPr>
              <w:t>紧急启停按钮</w:t>
            </w:r>
          </w:p>
        </w:tc>
        <w:tc>
          <w:tcPr>
            <w:tcW w:w="4367" w:type="dxa"/>
            <w:vAlign w:val="center"/>
          </w:tcPr>
          <w:p w14:paraId="62DB1DBE">
            <w:pPr>
              <w:widowControl/>
              <w:jc w:val="left"/>
              <w:textAlignment w:val="center"/>
              <w:rPr>
                <w:rFonts w:ascii="宋体" w:hAnsi="宋体"/>
                <w:szCs w:val="20"/>
              </w:rPr>
            </w:pPr>
            <w:r>
              <w:rPr>
                <w:rFonts w:hint="eastAsia" w:ascii="宋体" w:hAnsi="宋体"/>
                <w:szCs w:val="20"/>
              </w:rPr>
              <w:t>智能型,电子编址,可以手动操作启动或停止气体喷放</w:t>
            </w:r>
          </w:p>
        </w:tc>
        <w:tc>
          <w:tcPr>
            <w:tcW w:w="922" w:type="dxa"/>
            <w:vAlign w:val="center"/>
          </w:tcPr>
          <w:p w14:paraId="4323F567">
            <w:pPr>
              <w:widowControl/>
              <w:jc w:val="center"/>
              <w:textAlignment w:val="center"/>
              <w:rPr>
                <w:rFonts w:ascii="宋体" w:hAnsi="宋体"/>
                <w:szCs w:val="20"/>
              </w:rPr>
            </w:pPr>
            <w:r>
              <w:rPr>
                <w:rFonts w:hint="eastAsia" w:ascii="宋体" w:hAnsi="宋体"/>
                <w:szCs w:val="20"/>
              </w:rPr>
              <w:t>2</w:t>
            </w:r>
          </w:p>
        </w:tc>
        <w:tc>
          <w:tcPr>
            <w:tcW w:w="820" w:type="dxa"/>
            <w:vAlign w:val="center"/>
          </w:tcPr>
          <w:p w14:paraId="44C0EA5B">
            <w:pPr>
              <w:widowControl/>
              <w:jc w:val="center"/>
              <w:textAlignment w:val="center"/>
              <w:rPr>
                <w:rFonts w:ascii="宋体" w:hAnsi="宋体"/>
                <w:szCs w:val="20"/>
              </w:rPr>
            </w:pPr>
            <w:r>
              <w:rPr>
                <w:rFonts w:hint="eastAsia" w:ascii="宋体" w:hAnsi="宋体"/>
                <w:szCs w:val="20"/>
              </w:rPr>
              <w:t>只</w:t>
            </w:r>
          </w:p>
        </w:tc>
      </w:tr>
      <w:tr w14:paraId="3C4C5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50C61528">
            <w:pPr>
              <w:pStyle w:val="70"/>
              <w:widowControl/>
              <w:numPr>
                <w:ilvl w:val="0"/>
                <w:numId w:val="57"/>
              </w:numPr>
              <w:spacing w:line="240" w:lineRule="auto"/>
              <w:ind w:firstLineChars="0"/>
              <w:jc w:val="center"/>
              <w:rPr>
                <w:szCs w:val="20"/>
              </w:rPr>
            </w:pPr>
          </w:p>
        </w:tc>
        <w:tc>
          <w:tcPr>
            <w:tcW w:w="1989" w:type="dxa"/>
            <w:vAlign w:val="center"/>
          </w:tcPr>
          <w:p w14:paraId="2111C582">
            <w:pPr>
              <w:widowControl/>
              <w:jc w:val="center"/>
              <w:textAlignment w:val="center"/>
              <w:rPr>
                <w:rFonts w:ascii="宋体" w:hAnsi="宋体"/>
                <w:szCs w:val="20"/>
              </w:rPr>
            </w:pPr>
            <w:r>
              <w:rPr>
                <w:rFonts w:hint="eastAsia" w:ascii="宋体" w:hAnsi="宋体"/>
                <w:szCs w:val="20"/>
              </w:rPr>
              <w:t>气体释放警报器(放气指示灯)</w:t>
            </w:r>
          </w:p>
        </w:tc>
        <w:tc>
          <w:tcPr>
            <w:tcW w:w="4367" w:type="dxa"/>
            <w:vAlign w:val="center"/>
          </w:tcPr>
          <w:p w14:paraId="08E2FCE7">
            <w:pPr>
              <w:widowControl/>
              <w:jc w:val="left"/>
              <w:textAlignment w:val="center"/>
              <w:rPr>
                <w:rFonts w:ascii="宋体" w:hAnsi="宋体"/>
                <w:szCs w:val="20"/>
              </w:rPr>
            </w:pPr>
            <w:r>
              <w:rPr>
                <w:rFonts w:hint="eastAsia" w:ascii="宋体" w:hAnsi="宋体"/>
                <w:szCs w:val="20"/>
              </w:rPr>
              <w:t>智能型二总线,电子编址。</w:t>
            </w:r>
          </w:p>
        </w:tc>
        <w:tc>
          <w:tcPr>
            <w:tcW w:w="922" w:type="dxa"/>
            <w:vAlign w:val="center"/>
          </w:tcPr>
          <w:p w14:paraId="42ECF3DF">
            <w:pPr>
              <w:widowControl/>
              <w:jc w:val="center"/>
              <w:textAlignment w:val="center"/>
              <w:rPr>
                <w:rFonts w:ascii="宋体" w:hAnsi="宋体"/>
                <w:szCs w:val="20"/>
              </w:rPr>
            </w:pPr>
            <w:r>
              <w:rPr>
                <w:rFonts w:hint="eastAsia" w:ascii="宋体" w:hAnsi="宋体"/>
                <w:szCs w:val="20"/>
              </w:rPr>
              <w:t>2</w:t>
            </w:r>
          </w:p>
        </w:tc>
        <w:tc>
          <w:tcPr>
            <w:tcW w:w="820" w:type="dxa"/>
            <w:vAlign w:val="center"/>
          </w:tcPr>
          <w:p w14:paraId="1FBB97F2">
            <w:pPr>
              <w:widowControl/>
              <w:jc w:val="center"/>
              <w:textAlignment w:val="center"/>
              <w:rPr>
                <w:rFonts w:ascii="宋体" w:hAnsi="宋体"/>
                <w:szCs w:val="20"/>
              </w:rPr>
            </w:pPr>
            <w:r>
              <w:rPr>
                <w:rFonts w:hint="eastAsia" w:ascii="宋体" w:hAnsi="宋体"/>
                <w:szCs w:val="20"/>
              </w:rPr>
              <w:t>只</w:t>
            </w:r>
          </w:p>
        </w:tc>
      </w:tr>
      <w:tr w14:paraId="61A71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25DF34A4">
            <w:pPr>
              <w:pStyle w:val="70"/>
              <w:widowControl/>
              <w:numPr>
                <w:ilvl w:val="0"/>
                <w:numId w:val="57"/>
              </w:numPr>
              <w:spacing w:line="240" w:lineRule="auto"/>
              <w:ind w:firstLineChars="0"/>
              <w:jc w:val="center"/>
              <w:rPr>
                <w:szCs w:val="20"/>
              </w:rPr>
            </w:pPr>
          </w:p>
        </w:tc>
        <w:tc>
          <w:tcPr>
            <w:tcW w:w="1989" w:type="dxa"/>
            <w:vAlign w:val="center"/>
          </w:tcPr>
          <w:p w14:paraId="7B5CE17B">
            <w:pPr>
              <w:widowControl/>
              <w:jc w:val="center"/>
              <w:textAlignment w:val="center"/>
              <w:rPr>
                <w:rFonts w:ascii="宋体" w:hAnsi="宋体"/>
                <w:szCs w:val="20"/>
              </w:rPr>
            </w:pPr>
            <w:r>
              <w:rPr>
                <w:rFonts w:hint="eastAsia" w:ascii="宋体" w:hAnsi="宋体"/>
                <w:szCs w:val="20"/>
              </w:rPr>
              <w:t>气体灭火控制器（主机）</w:t>
            </w:r>
          </w:p>
        </w:tc>
        <w:tc>
          <w:tcPr>
            <w:tcW w:w="4367" w:type="dxa"/>
            <w:vAlign w:val="center"/>
          </w:tcPr>
          <w:p w14:paraId="7A117177">
            <w:pPr>
              <w:widowControl/>
              <w:jc w:val="left"/>
              <w:textAlignment w:val="center"/>
              <w:rPr>
                <w:rFonts w:ascii="宋体" w:hAnsi="宋体"/>
                <w:szCs w:val="20"/>
              </w:rPr>
            </w:pPr>
            <w:r>
              <w:rPr>
                <w:rFonts w:hint="eastAsia" w:ascii="宋体" w:hAnsi="宋体"/>
                <w:szCs w:val="20"/>
              </w:rPr>
              <w:t>主机需满足最新消防验收规范GB16806-2006声光可交替响。</w:t>
            </w:r>
          </w:p>
        </w:tc>
        <w:tc>
          <w:tcPr>
            <w:tcW w:w="922" w:type="dxa"/>
            <w:vAlign w:val="center"/>
          </w:tcPr>
          <w:p w14:paraId="0BA0C9ED">
            <w:pPr>
              <w:widowControl/>
              <w:jc w:val="center"/>
              <w:textAlignment w:val="center"/>
              <w:rPr>
                <w:rFonts w:ascii="宋体" w:hAnsi="宋体"/>
                <w:szCs w:val="20"/>
              </w:rPr>
            </w:pPr>
            <w:r>
              <w:rPr>
                <w:rFonts w:hint="eastAsia" w:ascii="宋体" w:hAnsi="宋体"/>
                <w:szCs w:val="20"/>
              </w:rPr>
              <w:t>2</w:t>
            </w:r>
          </w:p>
        </w:tc>
        <w:tc>
          <w:tcPr>
            <w:tcW w:w="820" w:type="dxa"/>
            <w:vAlign w:val="center"/>
          </w:tcPr>
          <w:p w14:paraId="6B8A27DB">
            <w:pPr>
              <w:widowControl/>
              <w:jc w:val="center"/>
              <w:textAlignment w:val="center"/>
              <w:rPr>
                <w:rFonts w:ascii="宋体" w:hAnsi="宋体"/>
                <w:szCs w:val="20"/>
              </w:rPr>
            </w:pPr>
            <w:r>
              <w:rPr>
                <w:rFonts w:hint="eastAsia" w:ascii="宋体" w:hAnsi="宋体"/>
                <w:szCs w:val="20"/>
              </w:rPr>
              <w:t>台</w:t>
            </w:r>
          </w:p>
        </w:tc>
      </w:tr>
      <w:tr w14:paraId="26B0B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22AB3E0F">
            <w:pPr>
              <w:pStyle w:val="70"/>
              <w:widowControl/>
              <w:numPr>
                <w:ilvl w:val="0"/>
                <w:numId w:val="57"/>
              </w:numPr>
              <w:spacing w:line="240" w:lineRule="auto"/>
              <w:ind w:firstLineChars="0"/>
              <w:jc w:val="center"/>
              <w:rPr>
                <w:szCs w:val="20"/>
              </w:rPr>
            </w:pPr>
          </w:p>
        </w:tc>
        <w:tc>
          <w:tcPr>
            <w:tcW w:w="1989" w:type="dxa"/>
            <w:vAlign w:val="center"/>
          </w:tcPr>
          <w:p w14:paraId="7BEB5776">
            <w:pPr>
              <w:widowControl/>
              <w:jc w:val="center"/>
              <w:textAlignment w:val="center"/>
              <w:rPr>
                <w:rFonts w:ascii="宋体" w:hAnsi="宋体"/>
                <w:szCs w:val="20"/>
              </w:rPr>
            </w:pPr>
            <w:r>
              <w:rPr>
                <w:rFonts w:hint="eastAsia" w:ascii="宋体" w:hAnsi="宋体"/>
                <w:szCs w:val="20"/>
              </w:rPr>
              <w:t>服务器机柜</w:t>
            </w:r>
          </w:p>
        </w:tc>
        <w:tc>
          <w:tcPr>
            <w:tcW w:w="4367" w:type="dxa"/>
            <w:vAlign w:val="center"/>
          </w:tcPr>
          <w:p w14:paraId="7DCD4774">
            <w:pPr>
              <w:widowControl/>
              <w:jc w:val="left"/>
              <w:textAlignment w:val="center"/>
              <w:rPr>
                <w:rFonts w:ascii="宋体" w:hAnsi="宋体"/>
                <w:szCs w:val="20"/>
              </w:rPr>
            </w:pPr>
            <w:r>
              <w:rPr>
                <w:rFonts w:hint="eastAsia" w:ascii="宋体" w:hAnsi="宋体"/>
                <w:szCs w:val="20"/>
              </w:rPr>
              <w:t>机柜高度：42U</w:t>
            </w:r>
          </w:p>
          <w:p w14:paraId="075A2D22">
            <w:pPr>
              <w:widowControl/>
              <w:jc w:val="left"/>
              <w:textAlignment w:val="center"/>
              <w:rPr>
                <w:rFonts w:ascii="宋体" w:hAnsi="宋体"/>
                <w:szCs w:val="20"/>
              </w:rPr>
            </w:pPr>
            <w:r>
              <w:rPr>
                <w:rFonts w:hint="eastAsia" w:ascii="宋体" w:hAnsi="宋体"/>
                <w:szCs w:val="20"/>
              </w:rPr>
              <w:t>机柜深度：</w:t>
            </w:r>
            <w:r>
              <w:rPr>
                <w:rFonts w:ascii="宋体" w:hAnsi="宋体"/>
                <w:szCs w:val="20"/>
              </w:rPr>
              <w:t>≥</w:t>
            </w:r>
            <w:r>
              <w:rPr>
                <w:rFonts w:hint="eastAsia" w:ascii="宋体" w:hAnsi="宋体"/>
                <w:szCs w:val="20"/>
              </w:rPr>
              <w:t>1000mm</w:t>
            </w:r>
          </w:p>
          <w:p w14:paraId="3C98B00B">
            <w:pPr>
              <w:widowControl/>
              <w:jc w:val="left"/>
              <w:textAlignment w:val="center"/>
              <w:rPr>
                <w:rFonts w:ascii="宋体" w:hAnsi="宋体"/>
                <w:szCs w:val="20"/>
              </w:rPr>
            </w:pPr>
            <w:r>
              <w:rPr>
                <w:rFonts w:hint="eastAsia" w:ascii="宋体" w:hAnsi="宋体"/>
                <w:szCs w:val="20"/>
              </w:rPr>
              <w:t>静态承重：≥600kg</w:t>
            </w:r>
          </w:p>
          <w:p w14:paraId="6E8F9FE6">
            <w:pPr>
              <w:widowControl/>
              <w:jc w:val="left"/>
              <w:textAlignment w:val="center"/>
              <w:rPr>
                <w:rFonts w:ascii="宋体" w:hAnsi="宋体"/>
                <w:szCs w:val="20"/>
              </w:rPr>
            </w:pPr>
            <w:r>
              <w:rPr>
                <w:rFonts w:hint="eastAsia" w:ascii="宋体" w:hAnsi="宋体"/>
                <w:szCs w:val="20"/>
              </w:rPr>
              <w:t>动态承重：≥300kg</w:t>
            </w:r>
          </w:p>
        </w:tc>
        <w:tc>
          <w:tcPr>
            <w:tcW w:w="922" w:type="dxa"/>
            <w:vAlign w:val="center"/>
          </w:tcPr>
          <w:p w14:paraId="28F262EB">
            <w:pPr>
              <w:widowControl/>
              <w:jc w:val="center"/>
              <w:textAlignment w:val="center"/>
              <w:rPr>
                <w:rFonts w:ascii="宋体" w:hAnsi="宋体"/>
                <w:szCs w:val="20"/>
              </w:rPr>
            </w:pPr>
            <w:r>
              <w:rPr>
                <w:rFonts w:hint="eastAsia" w:ascii="宋体" w:hAnsi="宋体"/>
                <w:szCs w:val="20"/>
              </w:rPr>
              <w:t>4</w:t>
            </w:r>
          </w:p>
        </w:tc>
        <w:tc>
          <w:tcPr>
            <w:tcW w:w="820" w:type="dxa"/>
            <w:vAlign w:val="center"/>
          </w:tcPr>
          <w:p w14:paraId="0E87C798">
            <w:pPr>
              <w:widowControl/>
              <w:spacing w:line="240" w:lineRule="auto"/>
              <w:jc w:val="center"/>
              <w:rPr>
                <w:rFonts w:ascii="宋体" w:hAnsi="宋体"/>
                <w:szCs w:val="20"/>
              </w:rPr>
            </w:pPr>
            <w:r>
              <w:rPr>
                <w:rFonts w:hint="eastAsia" w:ascii="宋体" w:hAnsi="宋体"/>
                <w:szCs w:val="20"/>
              </w:rPr>
              <w:t>台</w:t>
            </w:r>
          </w:p>
        </w:tc>
      </w:tr>
      <w:tr w14:paraId="0CCE7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76E680B8">
            <w:pPr>
              <w:pStyle w:val="70"/>
              <w:widowControl/>
              <w:numPr>
                <w:ilvl w:val="0"/>
                <w:numId w:val="57"/>
              </w:numPr>
              <w:spacing w:line="240" w:lineRule="auto"/>
              <w:ind w:firstLineChars="0"/>
              <w:jc w:val="center"/>
              <w:rPr>
                <w:szCs w:val="20"/>
              </w:rPr>
            </w:pPr>
          </w:p>
        </w:tc>
        <w:tc>
          <w:tcPr>
            <w:tcW w:w="1989" w:type="dxa"/>
            <w:vAlign w:val="center"/>
          </w:tcPr>
          <w:p w14:paraId="6DB88ED9">
            <w:pPr>
              <w:widowControl/>
              <w:jc w:val="center"/>
              <w:textAlignment w:val="center"/>
              <w:rPr>
                <w:rFonts w:ascii="宋体" w:hAnsi="宋体"/>
                <w:szCs w:val="20"/>
              </w:rPr>
            </w:pPr>
            <w:r>
              <w:rPr>
                <w:rFonts w:hint="eastAsia" w:ascii="宋体" w:hAnsi="宋体"/>
                <w:szCs w:val="20"/>
              </w:rPr>
              <w:t>PDU插排</w:t>
            </w:r>
          </w:p>
        </w:tc>
        <w:tc>
          <w:tcPr>
            <w:tcW w:w="4367" w:type="dxa"/>
            <w:vAlign w:val="center"/>
          </w:tcPr>
          <w:p w14:paraId="3AC4AA9C">
            <w:pPr>
              <w:widowControl/>
              <w:jc w:val="left"/>
              <w:textAlignment w:val="center"/>
              <w:rPr>
                <w:rFonts w:ascii="宋体" w:hAnsi="宋体"/>
                <w:szCs w:val="20"/>
              </w:rPr>
            </w:pPr>
            <w:r>
              <w:rPr>
                <w:rFonts w:hint="eastAsia" w:ascii="宋体" w:hAnsi="宋体"/>
                <w:szCs w:val="20"/>
              </w:rPr>
              <w:t>功率：16A</w:t>
            </w:r>
          </w:p>
          <w:p w14:paraId="13804ECE">
            <w:pPr>
              <w:widowControl/>
              <w:jc w:val="left"/>
              <w:textAlignment w:val="center"/>
              <w:rPr>
                <w:rFonts w:ascii="宋体" w:hAnsi="宋体"/>
                <w:szCs w:val="20"/>
              </w:rPr>
            </w:pPr>
            <w:r>
              <w:rPr>
                <w:rFonts w:hint="eastAsia" w:ascii="宋体" w:hAnsi="宋体"/>
                <w:szCs w:val="20"/>
              </w:rPr>
              <w:t>插孔：</w:t>
            </w:r>
            <w:r>
              <w:rPr>
                <w:rFonts w:ascii="宋体" w:hAnsi="宋体"/>
                <w:szCs w:val="20"/>
              </w:rPr>
              <w:t>≥</w:t>
            </w:r>
            <w:r>
              <w:rPr>
                <w:rFonts w:hint="eastAsia" w:ascii="宋体" w:hAnsi="宋体"/>
                <w:szCs w:val="20"/>
              </w:rPr>
              <w:t>8孔</w:t>
            </w:r>
          </w:p>
        </w:tc>
        <w:tc>
          <w:tcPr>
            <w:tcW w:w="922" w:type="dxa"/>
            <w:vAlign w:val="center"/>
          </w:tcPr>
          <w:p w14:paraId="54C91189">
            <w:pPr>
              <w:widowControl/>
              <w:jc w:val="center"/>
              <w:textAlignment w:val="center"/>
              <w:rPr>
                <w:rFonts w:ascii="宋体" w:hAnsi="宋体"/>
                <w:szCs w:val="20"/>
              </w:rPr>
            </w:pPr>
            <w:r>
              <w:rPr>
                <w:rFonts w:hint="eastAsia" w:ascii="宋体" w:hAnsi="宋体"/>
                <w:szCs w:val="20"/>
              </w:rPr>
              <w:t>4</w:t>
            </w:r>
          </w:p>
        </w:tc>
        <w:tc>
          <w:tcPr>
            <w:tcW w:w="820" w:type="dxa"/>
            <w:vAlign w:val="center"/>
          </w:tcPr>
          <w:p w14:paraId="054A4F16">
            <w:pPr>
              <w:widowControl/>
              <w:spacing w:line="240" w:lineRule="auto"/>
              <w:jc w:val="center"/>
              <w:rPr>
                <w:rFonts w:ascii="宋体" w:hAnsi="宋体"/>
                <w:szCs w:val="20"/>
              </w:rPr>
            </w:pPr>
            <w:r>
              <w:rPr>
                <w:rFonts w:hint="eastAsia" w:ascii="宋体" w:hAnsi="宋体"/>
                <w:szCs w:val="20"/>
              </w:rPr>
              <w:t>台</w:t>
            </w:r>
          </w:p>
        </w:tc>
      </w:tr>
    </w:tbl>
    <w:p w14:paraId="3BB23BEF">
      <w:pPr>
        <w:pStyle w:val="3"/>
      </w:pPr>
      <w:bookmarkStart w:id="558" w:name="_GoBack"/>
      <w:bookmarkEnd w:id="558"/>
    </w:p>
    <w:sectPr>
      <w:headerReference r:id="rId6" w:type="first"/>
      <w:footerReference r:id="rId8" w:type="first"/>
      <w:headerReference r:id="rId5" w:type="default"/>
      <w:footerReference r:id="rId7" w:type="default"/>
      <w:pgSz w:w="11906" w:h="16838"/>
      <w:pgMar w:top="1417" w:right="1474" w:bottom="1418" w:left="1588" w:header="964" w:footer="907" w:gutter="0"/>
      <w:cols w:space="425"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Book Antiqua">
    <w:altName w:val="Segoe Print"/>
    <w:panose1 w:val="00000000000000000000"/>
    <w:charset w:val="00"/>
    <w:family w:val="roman"/>
    <w:pitch w:val="default"/>
    <w:sig w:usb0="00000000"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等线">
    <w:panose1 w:val="02010600030101010101"/>
    <w:charset w:val="86"/>
    <w:family w:val="auto"/>
    <w:pitch w:val="default"/>
    <w:sig w:usb0="A00002BF" w:usb1="38CF7CFA" w:usb2="00000016" w:usb3="00000000" w:csb0="0004000F" w:csb1="00000000"/>
  </w:font>
  <w:font w:name="MS Mincho">
    <w:altName w:val="Yu Gothic UI"/>
    <w:panose1 w:val="02020609040205080304"/>
    <w:charset w:val="80"/>
    <w:family w:val="roman"/>
    <w:pitch w:val="default"/>
    <w:sig w:usb0="00000000" w:usb1="00000000" w:usb2="00000010" w:usb3="00000000" w:csb0="00020000" w:csb1="00000000"/>
  </w:font>
  <w:font w:name="Yu Gothic UI">
    <w:panose1 w:val="020B0500000000000000"/>
    <w:charset w:val="80"/>
    <w:family w:val="auto"/>
    <w:pitch w:val="default"/>
    <w:sig w:usb0="E00002FF" w:usb1="2AC7FDFF" w:usb2="00000016" w:usb3="00000000" w:csb0="2002009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44BD5B">
    <w:pPr>
      <w:pStyle w:val="28"/>
      <w:pBdr>
        <w:top w:val="single" w:color="auto" w:sz="4" w:space="1"/>
      </w:pBdr>
      <w:tabs>
        <w:tab w:val="left" w:pos="3398"/>
        <w:tab w:val="center" w:pos="4662"/>
      </w:tabs>
      <w:ind w:firstLine="360"/>
      <w:rPr>
        <w:rFonts w:ascii="宋体" w:hAnsi="宋体"/>
      </w:rPr>
    </w:pPr>
    <w:r>
      <mc:AlternateContent>
        <mc:Choice Requires="wps">
          <w:drawing>
            <wp:anchor distT="0" distB="0" distL="114300" distR="114300" simplePos="0" relativeHeight="251659264" behindDoc="0" locked="0" layoutInCell="1" allowOverlap="1">
              <wp:simplePos x="0" y="0"/>
              <wp:positionH relativeFrom="margin">
                <wp:posOffset>2744470</wp:posOffset>
              </wp:positionH>
              <wp:positionV relativeFrom="paragraph">
                <wp:posOffset>69215</wp:posOffset>
              </wp:positionV>
              <wp:extent cx="323850" cy="196850"/>
              <wp:effectExtent l="0" t="0" r="0" b="12700"/>
              <wp:wrapNone/>
              <wp:docPr id="66" name="文本框 66"/>
              <wp:cNvGraphicFramePr/>
              <a:graphic xmlns:a="http://schemas.openxmlformats.org/drawingml/2006/main">
                <a:graphicData uri="http://schemas.microsoft.com/office/word/2010/wordprocessingShape">
                  <wps:wsp>
                    <wps:cNvSpPr txBox="1"/>
                    <wps:spPr>
                      <a:xfrm>
                        <a:off x="0" y="0"/>
                        <a:ext cx="323850" cy="1968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EC98C6">
                          <w:pPr>
                            <w:pStyle w:val="28"/>
                          </w:pPr>
                          <w:r>
                            <w:fldChar w:fldCharType="begin"/>
                          </w:r>
                          <w:r>
                            <w:instrText xml:space="preserve">PAGE   \* MERGEFORMAT</w:instrText>
                          </w:r>
                          <w:r>
                            <w:fldChar w:fldCharType="separate"/>
                          </w:r>
                          <w:r>
                            <w:rPr>
                              <w:lang w:val="zh-CN"/>
                            </w:rPr>
                            <w:t>284</w:t>
                          </w:r>
                          <w: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16.1pt;margin-top:5.45pt;height:15.5pt;width:25.5pt;mso-position-horizontal-relative:margin;z-index:251659264;mso-width-relative:page;mso-height-relative:page;" filled="f" stroked="f" coordsize="21600,21600" o:gfxdata="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1nbC8dgAAAAJAQAADwAAAAAAAAABACAAAAAiAAAAZHJzL2Rvd25yZXYueG1sUEsB&#10;AhQAFAAAAAgAh07iQDwxYsouAgAAVwQAAA4AAAAAAAAAAQAgAAAAJwEAAGRycy9lMm9Eb2MueG1s&#10;UEsFBgAAAAAGAAYAWQEAAMcFAAAAAA==&#10;">
              <v:fill on="f" focussize="0,0"/>
              <v:stroke on="f" weight="0.5pt"/>
              <v:imagedata o:title=""/>
              <o:lock v:ext="edit" aspectratio="f"/>
              <v:textbox inset="0mm,0mm,0mm,0mm">
                <w:txbxContent>
                  <w:p w14:paraId="09EC98C6">
                    <w:pPr>
                      <w:pStyle w:val="28"/>
                    </w:pPr>
                    <w:r>
                      <w:fldChar w:fldCharType="begin"/>
                    </w:r>
                    <w:r>
                      <w:instrText xml:space="preserve">PAGE   \* MERGEFORMAT</w:instrText>
                    </w:r>
                    <w:r>
                      <w:fldChar w:fldCharType="separate"/>
                    </w:r>
                    <w:r>
                      <w:rPr>
                        <w:lang w:val="zh-CN"/>
                      </w:rPr>
                      <w:t>284</w:t>
                    </w:r>
                    <w:r>
                      <w:fldChar w:fldCharType="end"/>
                    </w:r>
                  </w:p>
                </w:txbxContent>
              </v:textbox>
            </v:shape>
          </w:pict>
        </mc:Fallback>
      </mc:AlternateContent>
    </w:r>
    <w:r>
      <w:rPr>
        <w:rFonts w:hint="eastAsia" w:ascii="宋体" w:hAnsi="宋体"/>
      </w:rPr>
      <w:tab/>
    </w:r>
    <w:r>
      <w:rPr>
        <w:rFonts w:hint="eastAsia" w:ascii="宋体" w:hAnsi="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0236E5">
    <w:pPr>
      <w:pStyle w:val="2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E181B7">
    <w:pPr>
      <w:pStyle w:val="29"/>
      <w:pBdr>
        <w:bottom w:val="none" w:color="auto" w:sz="0" w:space="1"/>
      </w:pBdr>
      <w:spacing w:line="240" w:lineRule="auto"/>
      <w:jc w:val="right"/>
      <w:rPr>
        <w14:textOutline w14:w="6350" w14:cap="flat" w14:cmpd="sng" w14:algn="ctr">
          <w14:solidFill>
            <w14:schemeClr w14:val="bg2">
              <w14:lumMod w14:val="90000"/>
            </w14:schemeClr>
          </w14:solidFill>
          <w14:prstDash w14:val="solid"/>
          <w14:round/>
        </w14:textOutli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77226A">
    <w:pPr>
      <w:pStyle w:val="2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0DA74A"/>
    <w:multiLevelType w:val="multilevel"/>
    <w:tmpl w:val="870DA74A"/>
    <w:lvl w:ilvl="0" w:tentative="0">
      <w:start w:val="1"/>
      <w:numFmt w:val="chineseCountingThousand"/>
      <w:suff w:val="nothing"/>
      <w:lvlText w:val="%1、"/>
      <w:lvlJc w:val="left"/>
      <w:pPr>
        <w:ind w:left="432" w:hanging="432"/>
      </w:pPr>
      <w:rPr>
        <w:rFonts w:hint="eastAsia"/>
      </w:rPr>
    </w:lvl>
    <w:lvl w:ilvl="1" w:tentative="0">
      <w:start w:val="1"/>
      <w:numFmt w:val="decimal"/>
      <w:isLgl/>
      <w:suff w:val="space"/>
      <w:lvlText w:val="%1.%2"/>
      <w:lvlJc w:val="left"/>
      <w:pPr>
        <w:ind w:left="576" w:hanging="576"/>
      </w:pPr>
      <w:rPr>
        <w:rFonts w:hint="eastAsia"/>
      </w:rPr>
    </w:lvl>
    <w:lvl w:ilvl="2" w:tentative="0">
      <w:start w:val="1"/>
      <w:numFmt w:val="decimal"/>
      <w:isLgl/>
      <w:suff w:val="space"/>
      <w:lvlText w:val="%1.%2.%3"/>
      <w:lvlJc w:val="left"/>
      <w:pPr>
        <w:ind w:left="720" w:hanging="720"/>
      </w:pPr>
      <w:rPr>
        <w:rFonts w:hint="eastAsia"/>
      </w:rPr>
    </w:lvl>
    <w:lvl w:ilvl="3" w:tentative="0">
      <w:start w:val="1"/>
      <w:numFmt w:val="decimal"/>
      <w:isLgl/>
      <w:suff w:val="space"/>
      <w:lvlText w:val="%1.%2.%3.%4"/>
      <w:lvlJc w:val="left"/>
      <w:pPr>
        <w:ind w:left="864" w:hanging="864"/>
      </w:pPr>
      <w:rPr>
        <w:rFonts w:hint="eastAsia"/>
      </w:rPr>
    </w:lvl>
    <w:lvl w:ilvl="4" w:tentative="0">
      <w:start w:val="1"/>
      <w:numFmt w:val="decimal"/>
      <w:isLgl/>
      <w:suff w:val="space"/>
      <w:lvlText w:val="%1.%2.%3.%4.%5"/>
      <w:lvlJc w:val="left"/>
      <w:pPr>
        <w:ind w:left="1008" w:hanging="1008"/>
      </w:pPr>
      <w:rPr>
        <w:rFonts w:hint="eastAsia"/>
      </w:rPr>
    </w:lvl>
    <w:lvl w:ilvl="5" w:tentative="0">
      <w:start w:val="1"/>
      <w:numFmt w:val="decimal"/>
      <w:isLgl/>
      <w:suff w:val="space"/>
      <w:lvlText w:val="%1.%2.%3.%4.%5.%6"/>
      <w:lvlJc w:val="left"/>
      <w:pPr>
        <w:ind w:left="1152" w:hanging="1152"/>
      </w:pPr>
      <w:rPr>
        <w:rFonts w:hint="eastAsia"/>
      </w:rPr>
    </w:lvl>
    <w:lvl w:ilvl="6" w:tentative="0">
      <w:start w:val="1"/>
      <w:numFmt w:val="decimal"/>
      <w:isLgl/>
      <w:suff w:val="space"/>
      <w:lvlText w:val="%1.%2.%3.%4.%5.%6.%7"/>
      <w:lvlJc w:val="left"/>
      <w:pPr>
        <w:ind w:left="1296" w:hanging="1296"/>
      </w:pPr>
      <w:rPr>
        <w:rFonts w:hint="eastAsia"/>
      </w:rPr>
    </w:lvl>
    <w:lvl w:ilvl="7" w:tentative="0">
      <w:start w:val="1"/>
      <w:numFmt w:val="decimal"/>
      <w:isLgl/>
      <w:suff w:val="space"/>
      <w:lvlText w:val="%1.%2.%3.%4.%5.%6.%7.%8"/>
      <w:lvlJc w:val="left"/>
      <w:pPr>
        <w:ind w:left="1440" w:hanging="1440"/>
      </w:pPr>
      <w:rPr>
        <w:rFonts w:hint="eastAsia"/>
        <w:b/>
        <w:i w:val="0"/>
      </w:rPr>
    </w:lvl>
    <w:lvl w:ilvl="8" w:tentative="0">
      <w:start w:val="1"/>
      <w:numFmt w:val="decimal"/>
      <w:isLgl/>
      <w:suff w:val="space"/>
      <w:lvlText w:val="%1.%2.%3.%4.%5.%6.%7.%8.%9"/>
      <w:lvlJc w:val="left"/>
      <w:pPr>
        <w:ind w:left="1584" w:hanging="1584"/>
      </w:pPr>
      <w:rPr>
        <w:rFonts w:hint="eastAsia"/>
        <w:b/>
        <w:i w:val="0"/>
      </w:rPr>
    </w:lvl>
  </w:abstractNum>
  <w:abstractNum w:abstractNumId="1">
    <w:nsid w:val="884E7C3B"/>
    <w:multiLevelType w:val="singleLevel"/>
    <w:tmpl w:val="884E7C3B"/>
    <w:lvl w:ilvl="0" w:tentative="0">
      <w:start w:val="1"/>
      <w:numFmt w:val="decimal"/>
      <w:suff w:val="nothing"/>
      <w:lvlText w:val="%1、"/>
      <w:lvlJc w:val="left"/>
    </w:lvl>
  </w:abstractNum>
  <w:abstractNum w:abstractNumId="2">
    <w:nsid w:val="8B01E3F7"/>
    <w:multiLevelType w:val="singleLevel"/>
    <w:tmpl w:val="8B01E3F7"/>
    <w:lvl w:ilvl="0" w:tentative="0">
      <w:start w:val="1"/>
      <w:numFmt w:val="decimal"/>
      <w:lvlText w:val="%1."/>
      <w:lvlJc w:val="left"/>
      <w:pPr>
        <w:tabs>
          <w:tab w:val="left" w:pos="312"/>
        </w:tabs>
      </w:pPr>
    </w:lvl>
  </w:abstractNum>
  <w:abstractNum w:abstractNumId="3">
    <w:nsid w:val="967FF365"/>
    <w:multiLevelType w:val="singleLevel"/>
    <w:tmpl w:val="967FF365"/>
    <w:lvl w:ilvl="0" w:tentative="0">
      <w:start w:val="1"/>
      <w:numFmt w:val="decimal"/>
      <w:lvlText w:val="%1."/>
      <w:lvlJc w:val="left"/>
      <w:pPr>
        <w:tabs>
          <w:tab w:val="left" w:pos="312"/>
        </w:tabs>
      </w:pPr>
    </w:lvl>
  </w:abstractNum>
  <w:abstractNum w:abstractNumId="4">
    <w:nsid w:val="A2637C93"/>
    <w:multiLevelType w:val="singleLevel"/>
    <w:tmpl w:val="A2637C93"/>
    <w:lvl w:ilvl="0" w:tentative="0">
      <w:start w:val="1"/>
      <w:numFmt w:val="decimal"/>
      <w:lvlText w:val="%1."/>
      <w:lvlJc w:val="left"/>
      <w:pPr>
        <w:tabs>
          <w:tab w:val="left" w:pos="312"/>
        </w:tabs>
      </w:pPr>
    </w:lvl>
  </w:abstractNum>
  <w:abstractNum w:abstractNumId="5">
    <w:nsid w:val="CC1ECA19"/>
    <w:multiLevelType w:val="singleLevel"/>
    <w:tmpl w:val="CC1ECA19"/>
    <w:lvl w:ilvl="0" w:tentative="0">
      <w:start w:val="1"/>
      <w:numFmt w:val="decimal"/>
      <w:lvlText w:val="%1."/>
      <w:lvlJc w:val="left"/>
      <w:pPr>
        <w:ind w:left="425" w:hanging="425"/>
      </w:pPr>
      <w:rPr>
        <w:rFonts w:hint="default"/>
      </w:rPr>
    </w:lvl>
  </w:abstractNum>
  <w:abstractNum w:abstractNumId="6">
    <w:nsid w:val="DE56850B"/>
    <w:multiLevelType w:val="multilevel"/>
    <w:tmpl w:val="DE56850B"/>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7">
    <w:nsid w:val="DF5E86FB"/>
    <w:multiLevelType w:val="singleLevel"/>
    <w:tmpl w:val="DF5E86FB"/>
    <w:lvl w:ilvl="0" w:tentative="0">
      <w:start w:val="1"/>
      <w:numFmt w:val="decimal"/>
      <w:lvlText w:val="%1)"/>
      <w:lvlJc w:val="left"/>
      <w:pPr>
        <w:ind w:left="425" w:hanging="425"/>
      </w:pPr>
      <w:rPr>
        <w:rFonts w:hint="default"/>
      </w:rPr>
    </w:lvl>
  </w:abstractNum>
  <w:abstractNum w:abstractNumId="8">
    <w:nsid w:val="E01889C6"/>
    <w:multiLevelType w:val="singleLevel"/>
    <w:tmpl w:val="E01889C6"/>
    <w:lvl w:ilvl="0" w:tentative="0">
      <w:start w:val="1"/>
      <w:numFmt w:val="decimal"/>
      <w:suff w:val="nothing"/>
      <w:lvlText w:val="%1、"/>
      <w:lvlJc w:val="left"/>
    </w:lvl>
  </w:abstractNum>
  <w:abstractNum w:abstractNumId="9">
    <w:nsid w:val="EE1F8EB1"/>
    <w:multiLevelType w:val="singleLevel"/>
    <w:tmpl w:val="EE1F8EB1"/>
    <w:lvl w:ilvl="0" w:tentative="0">
      <w:start w:val="2"/>
      <w:numFmt w:val="chineseCounting"/>
      <w:suff w:val="nothing"/>
      <w:lvlText w:val="%1、"/>
      <w:lvlJc w:val="left"/>
      <w:rPr>
        <w:rFonts w:hint="eastAsia"/>
      </w:rPr>
    </w:lvl>
  </w:abstractNum>
  <w:abstractNum w:abstractNumId="10">
    <w:nsid w:val="F00D0ACC"/>
    <w:multiLevelType w:val="multilevel"/>
    <w:tmpl w:val="F00D0ACC"/>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1">
    <w:nsid w:val="F3248143"/>
    <w:multiLevelType w:val="singleLevel"/>
    <w:tmpl w:val="F3248143"/>
    <w:lvl w:ilvl="0" w:tentative="0">
      <w:start w:val="1"/>
      <w:numFmt w:val="decimal"/>
      <w:suff w:val="space"/>
      <w:lvlText w:val="%1、"/>
      <w:lvlJc w:val="left"/>
    </w:lvl>
  </w:abstractNum>
  <w:abstractNum w:abstractNumId="12">
    <w:nsid w:val="FEB0E717"/>
    <w:multiLevelType w:val="singleLevel"/>
    <w:tmpl w:val="FEB0E717"/>
    <w:lvl w:ilvl="0" w:tentative="0">
      <w:start w:val="1"/>
      <w:numFmt w:val="decimal"/>
      <w:suff w:val="space"/>
      <w:lvlText w:val="%1."/>
      <w:lvlJc w:val="left"/>
    </w:lvl>
  </w:abstractNum>
  <w:abstractNum w:abstractNumId="13">
    <w:nsid w:val="0434617E"/>
    <w:multiLevelType w:val="multilevel"/>
    <w:tmpl w:val="0434617E"/>
    <w:lvl w:ilvl="0" w:tentative="0">
      <w:start w:val="1"/>
      <w:numFmt w:val="decimal"/>
      <w:lvlText w:val="%1"/>
      <w:lvlJc w:val="center"/>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04F966C0"/>
    <w:multiLevelType w:val="multilevel"/>
    <w:tmpl w:val="04F966C0"/>
    <w:lvl w:ilvl="0" w:tentative="0">
      <w:start w:val="1"/>
      <w:numFmt w:val="decimal"/>
      <w:lvlText w:val="%1)"/>
      <w:lvlJc w:val="left"/>
      <w:pPr>
        <w:ind w:left="920" w:hanging="440"/>
      </w:p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15">
    <w:nsid w:val="06895D15"/>
    <w:multiLevelType w:val="multilevel"/>
    <w:tmpl w:val="06895D15"/>
    <w:lvl w:ilvl="0" w:tentative="0">
      <w:start w:val="1"/>
      <w:numFmt w:val="decimal"/>
      <w:pStyle w:val="2"/>
      <w:lvlText w:val="%1."/>
      <w:lvlJc w:val="left"/>
      <w:pPr>
        <w:ind w:left="432" w:hanging="432"/>
      </w:pPr>
      <w:rPr>
        <w:rFonts w:hint="default"/>
      </w:rPr>
    </w:lvl>
    <w:lvl w:ilvl="1" w:tentative="0">
      <w:start w:val="1"/>
      <w:numFmt w:val="decimal"/>
      <w:pStyle w:val="4"/>
      <w:lvlText w:val="%1.%2."/>
      <w:lvlJc w:val="left"/>
      <w:pPr>
        <w:ind w:left="575" w:hanging="575"/>
      </w:pPr>
      <w:rPr>
        <w:rFonts w:hint="default"/>
      </w:rPr>
    </w:lvl>
    <w:lvl w:ilvl="2" w:tentative="0">
      <w:start w:val="1"/>
      <w:numFmt w:val="decimal"/>
      <w:pStyle w:val="5"/>
      <w:lvlText w:val="%1.%2.%3."/>
      <w:lvlJc w:val="left"/>
      <w:pPr>
        <w:ind w:left="720" w:hanging="720"/>
      </w:pPr>
      <w:rPr>
        <w:rFonts w:hint="default"/>
      </w:rPr>
    </w:lvl>
    <w:lvl w:ilvl="3" w:tentative="0">
      <w:start w:val="1"/>
      <w:numFmt w:val="decimal"/>
      <w:pStyle w:val="6"/>
      <w:lvlText w:val="%1.%2.%3.%4."/>
      <w:lvlJc w:val="left"/>
      <w:pPr>
        <w:ind w:left="864" w:hanging="864"/>
      </w:pPr>
      <w:rPr>
        <w:rFonts w:hint="default"/>
      </w:rPr>
    </w:lvl>
    <w:lvl w:ilvl="4" w:tentative="0">
      <w:start w:val="1"/>
      <w:numFmt w:val="decimal"/>
      <w:pStyle w:val="7"/>
      <w:lvlText w:val="%1.%2.%3.%4.%5."/>
      <w:lvlJc w:val="left"/>
      <w:pPr>
        <w:ind w:left="1008" w:hanging="1008"/>
      </w:pPr>
      <w:rPr>
        <w:rFonts w:hint="default"/>
      </w:rPr>
    </w:lvl>
    <w:lvl w:ilvl="5" w:tentative="0">
      <w:start w:val="1"/>
      <w:numFmt w:val="decimal"/>
      <w:pStyle w:val="8"/>
      <w:lvlText w:val="%1.%2.%3.%4.%5.%6."/>
      <w:lvlJc w:val="left"/>
      <w:pPr>
        <w:ind w:left="1151" w:hanging="1151"/>
      </w:pPr>
      <w:rPr>
        <w:rFonts w:hint="default"/>
      </w:rPr>
    </w:lvl>
    <w:lvl w:ilvl="6" w:tentative="0">
      <w:start w:val="1"/>
      <w:numFmt w:val="decimal"/>
      <w:pStyle w:val="9"/>
      <w:lvlText w:val="%1.%2.%3.%4.%5.%6.%7."/>
      <w:lvlJc w:val="left"/>
      <w:pPr>
        <w:ind w:left="1296" w:hanging="1296"/>
      </w:pPr>
      <w:rPr>
        <w:rFonts w:hint="default"/>
      </w:rPr>
    </w:lvl>
    <w:lvl w:ilvl="7" w:tentative="0">
      <w:start w:val="1"/>
      <w:numFmt w:val="decimal"/>
      <w:pStyle w:val="10"/>
      <w:lvlText w:val="%1.%2.%3.%4.%5.%6.%7.%8."/>
      <w:lvlJc w:val="left"/>
      <w:pPr>
        <w:ind w:left="1440" w:hanging="1440"/>
      </w:pPr>
      <w:rPr>
        <w:rFonts w:hint="default"/>
      </w:rPr>
    </w:lvl>
    <w:lvl w:ilvl="8" w:tentative="0">
      <w:start w:val="1"/>
      <w:numFmt w:val="decimal"/>
      <w:pStyle w:val="11"/>
      <w:lvlText w:val="%1.%2.%3.%4.%5.%6.%7.%8.%9."/>
      <w:lvlJc w:val="left"/>
      <w:pPr>
        <w:ind w:left="1583" w:hanging="1583"/>
      </w:pPr>
      <w:rPr>
        <w:rFonts w:hint="default"/>
      </w:rPr>
    </w:lvl>
  </w:abstractNum>
  <w:abstractNum w:abstractNumId="16">
    <w:nsid w:val="07A74CB0"/>
    <w:multiLevelType w:val="multilevel"/>
    <w:tmpl w:val="07A74CB0"/>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7">
    <w:nsid w:val="089870B6"/>
    <w:multiLevelType w:val="multilevel"/>
    <w:tmpl w:val="089870B6"/>
    <w:lvl w:ilvl="0" w:tentative="0">
      <w:start w:val="1"/>
      <w:numFmt w:val="bullet"/>
      <w:lvlText w:val=""/>
      <w:lvlJc w:val="left"/>
      <w:pPr>
        <w:ind w:left="920" w:hanging="440"/>
      </w:pPr>
      <w:rPr>
        <w:rFonts w:hint="default" w:ascii="Wingdings" w:hAnsi="Wingdings"/>
      </w:rPr>
    </w:lvl>
    <w:lvl w:ilvl="1" w:tentative="0">
      <w:start w:val="1"/>
      <w:numFmt w:val="bullet"/>
      <w:lvlText w:val=""/>
      <w:lvlJc w:val="left"/>
      <w:pPr>
        <w:ind w:left="1360" w:hanging="440"/>
      </w:pPr>
      <w:rPr>
        <w:rFonts w:hint="default" w:ascii="Wingdings" w:hAnsi="Wingdings"/>
      </w:rPr>
    </w:lvl>
    <w:lvl w:ilvl="2" w:tentative="0">
      <w:start w:val="1"/>
      <w:numFmt w:val="bullet"/>
      <w:lvlText w:val=""/>
      <w:lvlJc w:val="left"/>
      <w:pPr>
        <w:ind w:left="1800" w:hanging="440"/>
      </w:pPr>
      <w:rPr>
        <w:rFonts w:hint="default" w:ascii="Wingdings" w:hAnsi="Wingdings"/>
      </w:rPr>
    </w:lvl>
    <w:lvl w:ilvl="3" w:tentative="0">
      <w:start w:val="1"/>
      <w:numFmt w:val="bullet"/>
      <w:lvlText w:val=""/>
      <w:lvlJc w:val="left"/>
      <w:pPr>
        <w:ind w:left="2240" w:hanging="440"/>
      </w:pPr>
      <w:rPr>
        <w:rFonts w:hint="default" w:ascii="Wingdings" w:hAnsi="Wingdings"/>
      </w:rPr>
    </w:lvl>
    <w:lvl w:ilvl="4" w:tentative="0">
      <w:start w:val="1"/>
      <w:numFmt w:val="bullet"/>
      <w:lvlText w:val=""/>
      <w:lvlJc w:val="left"/>
      <w:pPr>
        <w:ind w:left="2680" w:hanging="440"/>
      </w:pPr>
      <w:rPr>
        <w:rFonts w:hint="default" w:ascii="Wingdings" w:hAnsi="Wingdings"/>
      </w:rPr>
    </w:lvl>
    <w:lvl w:ilvl="5" w:tentative="0">
      <w:start w:val="1"/>
      <w:numFmt w:val="bullet"/>
      <w:lvlText w:val=""/>
      <w:lvlJc w:val="left"/>
      <w:pPr>
        <w:ind w:left="3120" w:hanging="440"/>
      </w:pPr>
      <w:rPr>
        <w:rFonts w:hint="default" w:ascii="Wingdings" w:hAnsi="Wingdings"/>
      </w:rPr>
    </w:lvl>
    <w:lvl w:ilvl="6" w:tentative="0">
      <w:start w:val="1"/>
      <w:numFmt w:val="bullet"/>
      <w:lvlText w:val=""/>
      <w:lvlJc w:val="left"/>
      <w:pPr>
        <w:ind w:left="3560" w:hanging="440"/>
      </w:pPr>
      <w:rPr>
        <w:rFonts w:hint="default" w:ascii="Wingdings" w:hAnsi="Wingdings"/>
      </w:rPr>
    </w:lvl>
    <w:lvl w:ilvl="7" w:tentative="0">
      <w:start w:val="1"/>
      <w:numFmt w:val="bullet"/>
      <w:lvlText w:val=""/>
      <w:lvlJc w:val="left"/>
      <w:pPr>
        <w:ind w:left="4000" w:hanging="440"/>
      </w:pPr>
      <w:rPr>
        <w:rFonts w:hint="default" w:ascii="Wingdings" w:hAnsi="Wingdings"/>
      </w:rPr>
    </w:lvl>
    <w:lvl w:ilvl="8" w:tentative="0">
      <w:start w:val="1"/>
      <w:numFmt w:val="bullet"/>
      <w:lvlText w:val=""/>
      <w:lvlJc w:val="left"/>
      <w:pPr>
        <w:ind w:left="4440" w:hanging="440"/>
      </w:pPr>
      <w:rPr>
        <w:rFonts w:hint="default" w:ascii="Wingdings" w:hAnsi="Wingdings"/>
      </w:rPr>
    </w:lvl>
  </w:abstractNum>
  <w:abstractNum w:abstractNumId="18">
    <w:nsid w:val="0A33694A"/>
    <w:multiLevelType w:val="multilevel"/>
    <w:tmpl w:val="0A33694A"/>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9">
    <w:nsid w:val="0E940488"/>
    <w:multiLevelType w:val="multilevel"/>
    <w:tmpl w:val="0E940488"/>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0">
    <w:nsid w:val="0EE3429B"/>
    <w:multiLevelType w:val="multilevel"/>
    <w:tmpl w:val="0EE3429B"/>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1">
    <w:nsid w:val="14F77F82"/>
    <w:multiLevelType w:val="multilevel"/>
    <w:tmpl w:val="14F77F82"/>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22">
    <w:nsid w:val="16740212"/>
    <w:multiLevelType w:val="multilevel"/>
    <w:tmpl w:val="16740212"/>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23">
    <w:nsid w:val="184004A8"/>
    <w:multiLevelType w:val="multilevel"/>
    <w:tmpl w:val="184004A8"/>
    <w:lvl w:ilvl="0" w:tentative="0">
      <w:start w:val="1"/>
      <w:numFmt w:val="bullet"/>
      <w:pStyle w:val="196"/>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24">
    <w:nsid w:val="1FF36D40"/>
    <w:multiLevelType w:val="multilevel"/>
    <w:tmpl w:val="1FF36D40"/>
    <w:lvl w:ilvl="0" w:tentative="0">
      <w:start w:val="1"/>
      <w:numFmt w:val="decimal"/>
      <w:lvlText w:val="%1)"/>
      <w:lvlJc w:val="left"/>
      <w:pPr>
        <w:ind w:left="840" w:hanging="420"/>
      </w:pPr>
      <w:rPr>
        <w:rFonts w:hint="eastAsia"/>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20D1F84B"/>
    <w:multiLevelType w:val="multilevel"/>
    <w:tmpl w:val="20D1F84B"/>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6">
    <w:nsid w:val="273B2C23"/>
    <w:multiLevelType w:val="multilevel"/>
    <w:tmpl w:val="273B2C23"/>
    <w:lvl w:ilvl="0" w:tentative="0">
      <w:start w:val="1"/>
      <w:numFmt w:val="decimal"/>
      <w:lvlText w:val="%1."/>
      <w:lvlJc w:val="left"/>
      <w:pPr>
        <w:ind w:left="780" w:hanging="36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27">
    <w:nsid w:val="276A447E"/>
    <w:multiLevelType w:val="multilevel"/>
    <w:tmpl w:val="276A447E"/>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8">
    <w:nsid w:val="2CE324B5"/>
    <w:multiLevelType w:val="singleLevel"/>
    <w:tmpl w:val="2CE324B5"/>
    <w:lvl w:ilvl="0" w:tentative="0">
      <w:start w:val="1"/>
      <w:numFmt w:val="decimal"/>
      <w:lvlText w:val="%1."/>
      <w:lvlJc w:val="left"/>
      <w:pPr>
        <w:tabs>
          <w:tab w:val="left" w:pos="312"/>
        </w:tabs>
      </w:pPr>
    </w:lvl>
  </w:abstractNum>
  <w:abstractNum w:abstractNumId="29">
    <w:nsid w:val="322B6B96"/>
    <w:multiLevelType w:val="multilevel"/>
    <w:tmpl w:val="322B6B96"/>
    <w:lvl w:ilvl="0" w:tentative="0">
      <w:start w:val="1"/>
      <w:numFmt w:val="decimal"/>
      <w:pStyle w:val="17"/>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30">
    <w:nsid w:val="32465DEE"/>
    <w:multiLevelType w:val="multilevel"/>
    <w:tmpl w:val="32465DEE"/>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1">
    <w:nsid w:val="32883FC2"/>
    <w:multiLevelType w:val="multilevel"/>
    <w:tmpl w:val="32883FC2"/>
    <w:lvl w:ilvl="0" w:tentative="0">
      <w:start w:val="1"/>
      <w:numFmt w:val="decimal"/>
      <w:lvlText w:val="%1．"/>
      <w:lvlJc w:val="left"/>
      <w:pPr>
        <w:ind w:left="780" w:hanging="36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32">
    <w:nsid w:val="34387D62"/>
    <w:multiLevelType w:val="multilevel"/>
    <w:tmpl w:val="34387D62"/>
    <w:lvl w:ilvl="0" w:tentative="0">
      <w:start w:val="2"/>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807"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3">
    <w:nsid w:val="344039CD"/>
    <w:multiLevelType w:val="multilevel"/>
    <w:tmpl w:val="344039CD"/>
    <w:lvl w:ilvl="0" w:tentative="0">
      <w:start w:val="1"/>
      <w:numFmt w:val="decimal"/>
      <w:lvlText w:val="%1)"/>
      <w:lvlJc w:val="left"/>
      <w:pPr>
        <w:ind w:left="425" w:hanging="425"/>
      </w:pPr>
      <w:rPr>
        <w:rFonts w:ascii="宋体" w:hAnsi="宋体" w:eastAsia="宋体"/>
      </w:rPr>
    </w:lvl>
    <w:lvl w:ilvl="1" w:tentative="0">
      <w:start w:val="1"/>
      <w:numFmt w:val="decimal"/>
      <w:lvlText w:val="（%2）"/>
      <w:lvlJc w:val="left"/>
      <w:pPr>
        <w:ind w:left="865" w:hanging="440"/>
      </w:pPr>
      <w:rPr>
        <w:rFonts w:hint="default" w:ascii="Arial" w:hAnsi="Arial" w:cs="Arial"/>
        <w:b/>
        <w:color w:val="333333"/>
        <w:sz w:val="21"/>
      </w:rPr>
    </w:lvl>
    <w:lvl w:ilvl="2" w:tentative="0">
      <w:start w:val="1"/>
      <w:numFmt w:val="decimal"/>
      <w:lvlText w:val="%1.%2.%3"/>
      <w:lvlJc w:val="left"/>
      <w:pPr>
        <w:ind w:left="1418" w:hanging="567"/>
      </w:pPr>
      <w:rPr>
        <w:rFonts w:ascii="宋体" w:hAnsi="宋体" w:eastAsia="宋体"/>
      </w:r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34">
    <w:nsid w:val="3B823887"/>
    <w:multiLevelType w:val="multilevel"/>
    <w:tmpl w:val="3B823887"/>
    <w:lvl w:ilvl="0" w:tentative="0">
      <w:start w:val="1"/>
      <w:numFmt w:val="bullet"/>
      <w:pStyle w:val="21"/>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35">
    <w:nsid w:val="452F4FA4"/>
    <w:multiLevelType w:val="multilevel"/>
    <w:tmpl w:val="452F4FA4"/>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6">
    <w:nsid w:val="47DA90AF"/>
    <w:multiLevelType w:val="multilevel"/>
    <w:tmpl w:val="47DA90AF"/>
    <w:lvl w:ilvl="0" w:tentative="0">
      <w:start w:val="1"/>
      <w:numFmt w:val="decimal"/>
      <w:lvlText w:val="%1."/>
      <w:lvlJc w:val="left"/>
      <w:pPr>
        <w:ind w:left="68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7">
    <w:nsid w:val="49B73F8E"/>
    <w:multiLevelType w:val="multilevel"/>
    <w:tmpl w:val="49B73F8E"/>
    <w:lvl w:ilvl="0" w:tentative="0">
      <w:start w:val="1"/>
      <w:numFmt w:val="decimal"/>
      <w:lvlText w:val="%1"/>
      <w:lvlJc w:val="left"/>
      <w:pPr>
        <w:ind w:left="420" w:hanging="420"/>
      </w:pPr>
      <w:rPr>
        <w:rFonts w:hint="eastAsia" w:ascii="宋体" w:hAnsi="宋体" w:eastAsia="宋体"/>
      </w:rPr>
    </w:lvl>
    <w:lvl w:ilvl="1" w:tentative="0">
      <w:start w:val="1"/>
      <w:numFmt w:val="decimal"/>
      <w:isLgl/>
      <w:lvlText w:val="%1.%2"/>
      <w:lvlJc w:val="left"/>
      <w:pPr>
        <w:tabs>
          <w:tab w:val="left" w:pos="576"/>
        </w:tabs>
        <w:ind w:left="576" w:hanging="576"/>
      </w:pPr>
      <w:rPr>
        <w:rFonts w:hint="default" w:eastAsia="宋体" w:asciiTheme="minorEastAsia" w:hAnsiTheme="minorEastAsia"/>
      </w:rPr>
    </w:lvl>
    <w:lvl w:ilvl="2" w:tentative="0">
      <w:start w:val="1"/>
      <w:numFmt w:val="decimal"/>
      <w:isLgl/>
      <w:lvlText w:val="%1.%2.%3"/>
      <w:lvlJc w:val="left"/>
      <w:pPr>
        <w:tabs>
          <w:tab w:val="left" w:pos="0"/>
        </w:tabs>
        <w:ind w:left="720" w:hanging="720"/>
      </w:pPr>
      <w:rPr>
        <w:rFonts w:hint="eastAsia"/>
      </w:rPr>
    </w:lvl>
    <w:lvl w:ilvl="3" w:tentative="0">
      <w:start w:val="1"/>
      <w:numFmt w:val="decimal"/>
      <w:isLgl/>
      <w:lvlText w:val="%1.%2.%3.%4"/>
      <w:lvlJc w:val="left"/>
      <w:pPr>
        <w:tabs>
          <w:tab w:val="left" w:pos="864"/>
        </w:tabs>
        <w:ind w:left="864" w:hanging="864"/>
      </w:pPr>
      <w:rPr>
        <w:rFonts w:hint="eastAsia"/>
      </w:rPr>
    </w:lvl>
    <w:lvl w:ilvl="4" w:tentative="0">
      <w:start w:val="1"/>
      <w:numFmt w:val="decimal"/>
      <w:isLgl/>
      <w:lvlText w:val="%1.%2.%3.%4.%5"/>
      <w:lvlJc w:val="left"/>
      <w:pPr>
        <w:tabs>
          <w:tab w:val="left" w:pos="1434"/>
        </w:tabs>
        <w:ind w:left="1434" w:hanging="1008"/>
      </w:pPr>
      <w:rPr>
        <w:rFonts w:hint="eastAsia" w:ascii="宋体" w:hAnsi="宋体" w:eastAsia="宋体"/>
      </w:rPr>
    </w:lvl>
    <w:lvl w:ilvl="5" w:tentative="0">
      <w:start w:val="1"/>
      <w:numFmt w:val="decimal"/>
      <w:isLgl/>
      <w:lvlText w:val="%1.%2.%3.%4.%5.%6"/>
      <w:lvlJc w:val="left"/>
      <w:pPr>
        <w:tabs>
          <w:tab w:val="left" w:pos="1152"/>
        </w:tabs>
        <w:ind w:left="1152" w:hanging="1152"/>
      </w:pPr>
      <w:rPr>
        <w:rFonts w:hint="eastAsia" w:eastAsia="宋体" w:asciiTheme="minorEastAsia" w:hAnsiTheme="minorEastAsia"/>
      </w:rPr>
    </w:lvl>
    <w:lvl w:ilvl="6" w:tentative="0">
      <w:start w:val="1"/>
      <w:numFmt w:val="decimal"/>
      <w:isLgl/>
      <w:lvlText w:val="%1.%2.%3.%4.%5.%6.%7"/>
      <w:lvlJc w:val="left"/>
      <w:pPr>
        <w:tabs>
          <w:tab w:val="left" w:pos="1296"/>
        </w:tabs>
        <w:ind w:left="1296" w:hanging="1296"/>
      </w:pPr>
      <w:rPr>
        <w:rFonts w:hint="eastAsia"/>
      </w:rPr>
    </w:lvl>
    <w:lvl w:ilvl="7" w:tentative="0">
      <w:start w:val="1"/>
      <w:numFmt w:val="decimal"/>
      <w:isLg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38">
    <w:nsid w:val="4A8F183E"/>
    <w:multiLevelType w:val="singleLevel"/>
    <w:tmpl w:val="4A8F183E"/>
    <w:lvl w:ilvl="0" w:tentative="0">
      <w:start w:val="1"/>
      <w:numFmt w:val="decimal"/>
      <w:pStyle w:val="285"/>
      <w:lvlText w:val="%1)"/>
      <w:lvlJc w:val="left"/>
      <w:pPr>
        <w:ind w:left="425" w:hanging="425"/>
      </w:pPr>
      <w:rPr>
        <w:rFonts w:hint="default"/>
      </w:rPr>
    </w:lvl>
  </w:abstractNum>
  <w:abstractNum w:abstractNumId="39">
    <w:nsid w:val="4C4E0239"/>
    <w:multiLevelType w:val="multilevel"/>
    <w:tmpl w:val="4C4E0239"/>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0">
    <w:nsid w:val="4C5F2A82"/>
    <w:multiLevelType w:val="multilevel"/>
    <w:tmpl w:val="4C5F2A82"/>
    <w:lvl w:ilvl="0" w:tentative="0">
      <w:start w:val="1"/>
      <w:numFmt w:val="bullet"/>
      <w:lvlText w:val=""/>
      <w:lvlJc w:val="left"/>
      <w:pPr>
        <w:ind w:left="980" w:hanging="420"/>
      </w:pPr>
      <w:rPr>
        <w:rFonts w:hint="default" w:ascii="Wingdings" w:hAnsi="Wingdings"/>
      </w:rPr>
    </w:lvl>
    <w:lvl w:ilvl="1" w:tentative="0">
      <w:start w:val="1"/>
      <w:numFmt w:val="bullet"/>
      <w:lvlText w:val=""/>
      <w:lvlJc w:val="left"/>
      <w:pPr>
        <w:ind w:left="1400" w:hanging="420"/>
      </w:pPr>
      <w:rPr>
        <w:rFonts w:hint="default" w:ascii="Wingdings" w:hAnsi="Wingdings"/>
      </w:rPr>
    </w:lvl>
    <w:lvl w:ilvl="2" w:tentative="0">
      <w:start w:val="1"/>
      <w:numFmt w:val="bullet"/>
      <w:lvlText w:val=""/>
      <w:lvlJc w:val="left"/>
      <w:pPr>
        <w:ind w:left="1820" w:hanging="420"/>
      </w:pPr>
      <w:rPr>
        <w:rFonts w:hint="default" w:ascii="Wingdings" w:hAnsi="Wingdings"/>
      </w:rPr>
    </w:lvl>
    <w:lvl w:ilvl="3" w:tentative="0">
      <w:start w:val="1"/>
      <w:numFmt w:val="bullet"/>
      <w:lvlText w:val=""/>
      <w:lvlJc w:val="left"/>
      <w:pPr>
        <w:ind w:left="2240" w:hanging="420"/>
      </w:pPr>
      <w:rPr>
        <w:rFonts w:hint="default" w:ascii="Wingdings" w:hAnsi="Wingdings"/>
      </w:rPr>
    </w:lvl>
    <w:lvl w:ilvl="4" w:tentative="0">
      <w:start w:val="1"/>
      <w:numFmt w:val="bullet"/>
      <w:lvlText w:val=""/>
      <w:lvlJc w:val="left"/>
      <w:pPr>
        <w:ind w:left="2660" w:hanging="420"/>
      </w:pPr>
      <w:rPr>
        <w:rFonts w:hint="default" w:ascii="Wingdings" w:hAnsi="Wingdings"/>
      </w:rPr>
    </w:lvl>
    <w:lvl w:ilvl="5" w:tentative="0">
      <w:start w:val="1"/>
      <w:numFmt w:val="bullet"/>
      <w:lvlText w:val=""/>
      <w:lvlJc w:val="left"/>
      <w:pPr>
        <w:ind w:left="3080" w:hanging="420"/>
      </w:pPr>
      <w:rPr>
        <w:rFonts w:hint="default" w:ascii="Wingdings" w:hAnsi="Wingdings"/>
      </w:rPr>
    </w:lvl>
    <w:lvl w:ilvl="6" w:tentative="0">
      <w:start w:val="1"/>
      <w:numFmt w:val="bullet"/>
      <w:lvlText w:val=""/>
      <w:lvlJc w:val="left"/>
      <w:pPr>
        <w:ind w:left="3500" w:hanging="420"/>
      </w:pPr>
      <w:rPr>
        <w:rFonts w:hint="default" w:ascii="Wingdings" w:hAnsi="Wingdings"/>
      </w:rPr>
    </w:lvl>
    <w:lvl w:ilvl="7" w:tentative="0">
      <w:start w:val="1"/>
      <w:numFmt w:val="bullet"/>
      <w:lvlText w:val=""/>
      <w:lvlJc w:val="left"/>
      <w:pPr>
        <w:ind w:left="3920" w:hanging="420"/>
      </w:pPr>
      <w:rPr>
        <w:rFonts w:hint="default" w:ascii="Wingdings" w:hAnsi="Wingdings"/>
      </w:rPr>
    </w:lvl>
    <w:lvl w:ilvl="8" w:tentative="0">
      <w:start w:val="1"/>
      <w:numFmt w:val="bullet"/>
      <w:lvlText w:val=""/>
      <w:lvlJc w:val="left"/>
      <w:pPr>
        <w:ind w:left="4340" w:hanging="420"/>
      </w:pPr>
      <w:rPr>
        <w:rFonts w:hint="default" w:ascii="Wingdings" w:hAnsi="Wingdings"/>
      </w:rPr>
    </w:lvl>
  </w:abstractNum>
  <w:abstractNum w:abstractNumId="41">
    <w:nsid w:val="4CDE343A"/>
    <w:multiLevelType w:val="multilevel"/>
    <w:tmpl w:val="4CDE343A"/>
    <w:lvl w:ilvl="0" w:tentative="0">
      <w:start w:val="1"/>
      <w:numFmt w:val="decimal"/>
      <w:lvlText w:val="%1)"/>
      <w:lvlJc w:val="left"/>
      <w:pPr>
        <w:ind w:left="318"/>
      </w:pPr>
      <w:rPr>
        <w:b w:val="0"/>
        <w:i w:val="0"/>
        <w:strike w:val="0"/>
        <w:dstrike w:val="0"/>
        <w:color w:val="000000"/>
        <w:sz w:val="24"/>
        <w:szCs w:val="24"/>
        <w:u w:val="none" w:color="000000"/>
        <w:shd w:val="clear" w:color="auto" w:fill="auto"/>
        <w:vertAlign w:val="baseline"/>
      </w:rPr>
    </w:lvl>
    <w:lvl w:ilvl="1" w:tentative="0">
      <w:start w:val="1"/>
      <w:numFmt w:val="lowerLetter"/>
      <w:lvlText w:val="%2"/>
      <w:lvlJc w:val="left"/>
      <w:pPr>
        <w:ind w:left="1088"/>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lvl w:ilvl="2" w:tentative="0">
      <w:start w:val="1"/>
      <w:numFmt w:val="lowerRoman"/>
      <w:lvlText w:val="%3"/>
      <w:lvlJc w:val="left"/>
      <w:pPr>
        <w:ind w:left="1808"/>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lvl w:ilvl="3" w:tentative="0">
      <w:start w:val="1"/>
      <w:numFmt w:val="decimal"/>
      <w:lvlText w:val="%4"/>
      <w:lvlJc w:val="left"/>
      <w:pPr>
        <w:ind w:left="2528"/>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lvl w:ilvl="4" w:tentative="0">
      <w:start w:val="1"/>
      <w:numFmt w:val="lowerLetter"/>
      <w:lvlText w:val="%5"/>
      <w:lvlJc w:val="left"/>
      <w:pPr>
        <w:ind w:left="3248"/>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lvl w:ilvl="5" w:tentative="0">
      <w:start w:val="1"/>
      <w:numFmt w:val="lowerRoman"/>
      <w:lvlText w:val="%6"/>
      <w:lvlJc w:val="left"/>
      <w:pPr>
        <w:ind w:left="3968"/>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lvl w:ilvl="6" w:tentative="0">
      <w:start w:val="1"/>
      <w:numFmt w:val="decimal"/>
      <w:lvlText w:val="%7"/>
      <w:lvlJc w:val="left"/>
      <w:pPr>
        <w:ind w:left="4688"/>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lvl w:ilvl="7" w:tentative="0">
      <w:start w:val="1"/>
      <w:numFmt w:val="lowerLetter"/>
      <w:lvlText w:val="%8"/>
      <w:lvlJc w:val="left"/>
      <w:pPr>
        <w:ind w:left="5408"/>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lvl w:ilvl="8" w:tentative="0">
      <w:start w:val="1"/>
      <w:numFmt w:val="lowerRoman"/>
      <w:lvlText w:val="%9"/>
      <w:lvlJc w:val="left"/>
      <w:pPr>
        <w:ind w:left="6128"/>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abstractNum>
  <w:abstractNum w:abstractNumId="42">
    <w:nsid w:val="510C061D"/>
    <w:multiLevelType w:val="multilevel"/>
    <w:tmpl w:val="510C061D"/>
    <w:lvl w:ilvl="0" w:tentative="0">
      <w:start w:val="1"/>
      <w:numFmt w:val="decimal"/>
      <w:pStyle w:val="136"/>
      <w:lvlText w:val="%1、"/>
      <w:lvlJc w:val="left"/>
      <w:pPr>
        <w:ind w:left="420" w:hanging="420"/>
      </w:p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3">
    <w:nsid w:val="548A2B01"/>
    <w:multiLevelType w:val="singleLevel"/>
    <w:tmpl w:val="548A2B01"/>
    <w:lvl w:ilvl="0" w:tentative="0">
      <w:start w:val="1"/>
      <w:numFmt w:val="decimal"/>
      <w:lvlText w:val="%1."/>
      <w:lvlJc w:val="left"/>
      <w:pPr>
        <w:tabs>
          <w:tab w:val="left" w:pos="312"/>
        </w:tabs>
      </w:pPr>
    </w:lvl>
  </w:abstractNum>
  <w:abstractNum w:abstractNumId="44">
    <w:nsid w:val="54F9148B"/>
    <w:multiLevelType w:val="multilevel"/>
    <w:tmpl w:val="54F9148B"/>
    <w:lvl w:ilvl="0" w:tentative="0">
      <w:start w:val="1"/>
      <w:numFmt w:val="decimal"/>
      <w:lvlText w:val="%1)"/>
      <w:lvlJc w:val="left"/>
      <w:pPr>
        <w:ind w:left="425" w:hanging="425"/>
      </w:pPr>
      <w:rPr>
        <w:rFonts w:ascii="宋体" w:hAnsi="宋体" w:eastAsia="宋体"/>
      </w:rPr>
    </w:lvl>
    <w:lvl w:ilvl="1" w:tentative="0">
      <w:start w:val="1"/>
      <w:numFmt w:val="decimal"/>
      <w:lvlText w:val="（%2）"/>
      <w:lvlJc w:val="left"/>
      <w:pPr>
        <w:ind w:left="865" w:hanging="440"/>
      </w:pPr>
      <w:rPr>
        <w:rFonts w:hint="default" w:ascii="Arial" w:hAnsi="Arial" w:cs="Arial"/>
        <w:b/>
        <w:color w:val="333333"/>
        <w:sz w:val="21"/>
      </w:rPr>
    </w:lvl>
    <w:lvl w:ilvl="2" w:tentative="0">
      <w:start w:val="1"/>
      <w:numFmt w:val="decimal"/>
      <w:lvlText w:val="%1.%2.%3"/>
      <w:lvlJc w:val="left"/>
      <w:pPr>
        <w:ind w:left="1418" w:hanging="567"/>
      </w:pPr>
      <w:rPr>
        <w:rFonts w:ascii="宋体" w:hAnsi="宋体" w:eastAsia="宋体"/>
      </w:r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45">
    <w:nsid w:val="55C81F4C"/>
    <w:multiLevelType w:val="multilevel"/>
    <w:tmpl w:val="55C81F4C"/>
    <w:lvl w:ilvl="0" w:tentative="0">
      <w:start w:val="1"/>
      <w:numFmt w:val="decimal"/>
      <w:lvlText w:val="%1)"/>
      <w:lvlJc w:val="left"/>
      <w:pPr>
        <w:ind w:left="314"/>
      </w:pPr>
      <w:rPr>
        <w:b w:val="0"/>
        <w:i w:val="0"/>
        <w:strike w:val="0"/>
        <w:dstrike w:val="0"/>
        <w:color w:val="000000"/>
        <w:sz w:val="24"/>
        <w:szCs w:val="24"/>
        <w:u w:val="none" w:color="000000"/>
        <w:shd w:val="clear" w:color="auto" w:fill="auto"/>
        <w:vertAlign w:val="baseline"/>
      </w:rPr>
    </w:lvl>
    <w:lvl w:ilvl="1" w:tentative="0">
      <w:start w:val="1"/>
      <w:numFmt w:val="lowerLetter"/>
      <w:lvlText w:val="%2"/>
      <w:lvlJc w:val="left"/>
      <w:pPr>
        <w:ind w:left="1087"/>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lvl w:ilvl="2" w:tentative="0">
      <w:start w:val="1"/>
      <w:numFmt w:val="lowerRoman"/>
      <w:lvlText w:val="%3"/>
      <w:lvlJc w:val="left"/>
      <w:pPr>
        <w:ind w:left="1807"/>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lvl w:ilvl="3" w:tentative="0">
      <w:start w:val="1"/>
      <w:numFmt w:val="decimal"/>
      <w:lvlText w:val="%4"/>
      <w:lvlJc w:val="left"/>
      <w:pPr>
        <w:ind w:left="2527"/>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lvl w:ilvl="4" w:tentative="0">
      <w:start w:val="1"/>
      <w:numFmt w:val="lowerLetter"/>
      <w:lvlText w:val="%5"/>
      <w:lvlJc w:val="left"/>
      <w:pPr>
        <w:ind w:left="3247"/>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lvl w:ilvl="5" w:tentative="0">
      <w:start w:val="1"/>
      <w:numFmt w:val="lowerRoman"/>
      <w:lvlText w:val="%6"/>
      <w:lvlJc w:val="left"/>
      <w:pPr>
        <w:ind w:left="3967"/>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lvl w:ilvl="6" w:tentative="0">
      <w:start w:val="1"/>
      <w:numFmt w:val="decimal"/>
      <w:lvlText w:val="%7"/>
      <w:lvlJc w:val="left"/>
      <w:pPr>
        <w:ind w:left="4687"/>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lvl w:ilvl="7" w:tentative="0">
      <w:start w:val="1"/>
      <w:numFmt w:val="lowerLetter"/>
      <w:lvlText w:val="%8"/>
      <w:lvlJc w:val="left"/>
      <w:pPr>
        <w:ind w:left="5407"/>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lvl w:ilvl="8" w:tentative="0">
      <w:start w:val="1"/>
      <w:numFmt w:val="lowerRoman"/>
      <w:lvlText w:val="%9"/>
      <w:lvlJc w:val="left"/>
      <w:pPr>
        <w:ind w:left="6127"/>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abstractNum>
  <w:abstractNum w:abstractNumId="46">
    <w:nsid w:val="5ACF7157"/>
    <w:multiLevelType w:val="multilevel"/>
    <w:tmpl w:val="5ACF7157"/>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7">
    <w:nsid w:val="5CE9223F"/>
    <w:multiLevelType w:val="multilevel"/>
    <w:tmpl w:val="5CE9223F"/>
    <w:lvl w:ilvl="0" w:tentative="0">
      <w:start w:val="1"/>
      <w:numFmt w:val="decimal"/>
      <w:lvlText w:val="%1）"/>
      <w:lvlJc w:val="left"/>
      <w:pPr>
        <w:ind w:left="454" w:hanging="454"/>
      </w:pPr>
      <w:rPr>
        <w:rFonts w:hint="default" w:ascii="宋体" w:hAnsi="宋体" w:eastAsia="宋体"/>
      </w:rPr>
    </w:lvl>
    <w:lvl w:ilvl="1" w:tentative="0">
      <w:start w:val="1"/>
      <w:numFmt w:val="decimal"/>
      <w:lvlText w:val="2.%2"/>
      <w:lvlJc w:val="left"/>
      <w:pPr>
        <w:ind w:left="908" w:hanging="454"/>
      </w:pPr>
      <w:rPr>
        <w:rFonts w:hint="default"/>
      </w:rPr>
    </w:lvl>
    <w:lvl w:ilvl="2" w:tentative="0">
      <w:start w:val="1"/>
      <w:numFmt w:val="decimal"/>
      <w:lvlText w:val="%1.%2.%3"/>
      <w:lvlJc w:val="left"/>
      <w:pPr>
        <w:ind w:left="1362" w:hanging="454"/>
      </w:pPr>
      <w:rPr>
        <w:rFonts w:hint="eastAsia"/>
        <w:b w:val="0"/>
        <w:bCs w:val="0"/>
      </w:rPr>
    </w:lvl>
    <w:lvl w:ilvl="3" w:tentative="0">
      <w:start w:val="1"/>
      <w:numFmt w:val="decimal"/>
      <w:lvlText w:val="%1.%2.%3.%4"/>
      <w:lvlJc w:val="left"/>
      <w:pPr>
        <w:ind w:left="1816" w:hanging="454"/>
      </w:pPr>
      <w:rPr>
        <w:rFonts w:hint="eastAsia"/>
      </w:rPr>
    </w:lvl>
    <w:lvl w:ilvl="4" w:tentative="0">
      <w:start w:val="1"/>
      <w:numFmt w:val="decimal"/>
      <w:lvlText w:val="%1.%2.%3.%4.%5"/>
      <w:lvlJc w:val="left"/>
      <w:pPr>
        <w:ind w:left="2270" w:hanging="454"/>
      </w:pPr>
      <w:rPr>
        <w:rFonts w:hint="eastAsia"/>
      </w:rPr>
    </w:lvl>
    <w:lvl w:ilvl="5" w:tentative="0">
      <w:start w:val="1"/>
      <w:numFmt w:val="decimal"/>
      <w:lvlText w:val="%1.%2.%3.%4.%5.%6"/>
      <w:lvlJc w:val="left"/>
      <w:pPr>
        <w:ind w:left="2724" w:hanging="454"/>
      </w:pPr>
      <w:rPr>
        <w:rFonts w:hint="eastAsia"/>
      </w:rPr>
    </w:lvl>
    <w:lvl w:ilvl="6" w:tentative="0">
      <w:start w:val="1"/>
      <w:numFmt w:val="decimal"/>
      <w:lvlText w:val="%1.%2.%3.%4.%5.%6.%7"/>
      <w:lvlJc w:val="left"/>
      <w:pPr>
        <w:ind w:left="3178" w:hanging="454"/>
      </w:pPr>
      <w:rPr>
        <w:rFonts w:hint="eastAsia"/>
      </w:rPr>
    </w:lvl>
    <w:lvl w:ilvl="7" w:tentative="0">
      <w:start w:val="1"/>
      <w:numFmt w:val="decimal"/>
      <w:lvlText w:val="%1.%2.%3.%4.%5.%6.%7.%8"/>
      <w:lvlJc w:val="left"/>
      <w:pPr>
        <w:ind w:left="3632" w:hanging="454"/>
      </w:pPr>
      <w:rPr>
        <w:rFonts w:hint="eastAsia"/>
      </w:rPr>
    </w:lvl>
    <w:lvl w:ilvl="8" w:tentative="0">
      <w:start w:val="1"/>
      <w:numFmt w:val="decimal"/>
      <w:lvlText w:val="%1.%2.%3.%4.%5.%6.%7.%8.%9"/>
      <w:lvlJc w:val="left"/>
      <w:pPr>
        <w:ind w:left="4086" w:hanging="454"/>
      </w:pPr>
      <w:rPr>
        <w:rFonts w:hint="eastAsia"/>
      </w:rPr>
    </w:lvl>
  </w:abstractNum>
  <w:abstractNum w:abstractNumId="48">
    <w:nsid w:val="62175DA8"/>
    <w:multiLevelType w:val="multilevel"/>
    <w:tmpl w:val="62175DA8"/>
    <w:lvl w:ilvl="0" w:tentative="0">
      <w:start w:val="1"/>
      <w:numFmt w:val="decimal"/>
      <w:lvlText w:val="%1）"/>
      <w:lvlJc w:val="left"/>
      <w:pPr>
        <w:ind w:left="454" w:hanging="454"/>
      </w:pPr>
      <w:rPr>
        <w:rFonts w:hint="default"/>
      </w:rPr>
    </w:lvl>
    <w:lvl w:ilvl="1" w:tentative="0">
      <w:start w:val="1"/>
      <w:numFmt w:val="decimal"/>
      <w:lvlText w:val="%1.%2"/>
      <w:lvlJc w:val="left"/>
      <w:pPr>
        <w:ind w:left="908" w:hanging="454"/>
      </w:pPr>
      <w:rPr>
        <w:rFonts w:hint="eastAsia"/>
      </w:rPr>
    </w:lvl>
    <w:lvl w:ilvl="2" w:tentative="0">
      <w:start w:val="1"/>
      <w:numFmt w:val="decimal"/>
      <w:lvlText w:val="%1.%2.%3"/>
      <w:lvlJc w:val="left"/>
      <w:pPr>
        <w:ind w:left="1362" w:hanging="454"/>
      </w:pPr>
      <w:rPr>
        <w:rFonts w:hint="eastAsia"/>
      </w:rPr>
    </w:lvl>
    <w:lvl w:ilvl="3" w:tentative="0">
      <w:start w:val="1"/>
      <w:numFmt w:val="decimal"/>
      <w:lvlText w:val="%1.%2.%3.%4"/>
      <w:lvlJc w:val="left"/>
      <w:pPr>
        <w:ind w:left="1816" w:hanging="454"/>
      </w:pPr>
      <w:rPr>
        <w:rFonts w:hint="eastAsia"/>
      </w:rPr>
    </w:lvl>
    <w:lvl w:ilvl="4" w:tentative="0">
      <w:start w:val="1"/>
      <w:numFmt w:val="decimal"/>
      <w:lvlText w:val="%1.%2.%3.%4.%5"/>
      <w:lvlJc w:val="left"/>
      <w:pPr>
        <w:ind w:left="2270" w:hanging="454"/>
      </w:pPr>
      <w:rPr>
        <w:rFonts w:hint="eastAsia"/>
      </w:rPr>
    </w:lvl>
    <w:lvl w:ilvl="5" w:tentative="0">
      <w:start w:val="1"/>
      <w:numFmt w:val="decimal"/>
      <w:lvlText w:val="%1.%2.%3.%4.%5.%6"/>
      <w:lvlJc w:val="left"/>
      <w:pPr>
        <w:ind w:left="2724" w:hanging="454"/>
      </w:pPr>
      <w:rPr>
        <w:rFonts w:hint="eastAsia"/>
      </w:rPr>
    </w:lvl>
    <w:lvl w:ilvl="6" w:tentative="0">
      <w:start w:val="1"/>
      <w:numFmt w:val="decimal"/>
      <w:lvlText w:val="%1.%2.%3.%4.%5.%6.%7"/>
      <w:lvlJc w:val="left"/>
      <w:pPr>
        <w:ind w:left="3178" w:hanging="454"/>
      </w:pPr>
      <w:rPr>
        <w:rFonts w:hint="eastAsia"/>
      </w:rPr>
    </w:lvl>
    <w:lvl w:ilvl="7" w:tentative="0">
      <w:start w:val="1"/>
      <w:numFmt w:val="decimal"/>
      <w:lvlText w:val="%1.%2.%3.%4.%5.%6.%7.%8"/>
      <w:lvlJc w:val="left"/>
      <w:pPr>
        <w:ind w:left="3632" w:hanging="454"/>
      </w:pPr>
      <w:rPr>
        <w:rFonts w:hint="eastAsia"/>
      </w:rPr>
    </w:lvl>
    <w:lvl w:ilvl="8" w:tentative="0">
      <w:start w:val="1"/>
      <w:numFmt w:val="decimal"/>
      <w:lvlText w:val="%1.%2.%3.%4.%5.%6.%7.%8.%9"/>
      <w:lvlJc w:val="left"/>
      <w:pPr>
        <w:ind w:left="4086" w:hanging="454"/>
      </w:pPr>
      <w:rPr>
        <w:rFonts w:hint="eastAsia"/>
      </w:rPr>
    </w:lvl>
  </w:abstractNum>
  <w:abstractNum w:abstractNumId="49">
    <w:nsid w:val="638957B0"/>
    <w:multiLevelType w:val="multilevel"/>
    <w:tmpl w:val="638957B0"/>
    <w:lvl w:ilvl="0" w:tentative="0">
      <w:start w:val="2"/>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0">
    <w:nsid w:val="670046CB"/>
    <w:multiLevelType w:val="multilevel"/>
    <w:tmpl w:val="670046CB"/>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1">
    <w:nsid w:val="67B8457F"/>
    <w:multiLevelType w:val="multilevel"/>
    <w:tmpl w:val="67B8457F"/>
    <w:lvl w:ilvl="0" w:tentative="0">
      <w:start w:val="1"/>
      <w:numFmt w:val="chineseCountingThousand"/>
      <w:suff w:val="nothing"/>
      <w:lvlText w:val="%1、"/>
      <w:lvlJc w:val="left"/>
      <w:pPr>
        <w:ind w:left="432" w:hanging="432"/>
      </w:pPr>
      <w:rPr>
        <w:rFonts w:hint="eastAsia"/>
      </w:rPr>
    </w:lvl>
    <w:lvl w:ilvl="1" w:tentative="0">
      <w:start w:val="1"/>
      <w:numFmt w:val="decimal"/>
      <w:isLgl/>
      <w:suff w:val="space"/>
      <w:lvlText w:val="%1.%2"/>
      <w:lvlJc w:val="left"/>
      <w:pPr>
        <w:ind w:left="576" w:hanging="576"/>
      </w:pPr>
      <w:rPr>
        <w:rFonts w:hint="eastAsia"/>
      </w:rPr>
    </w:lvl>
    <w:lvl w:ilvl="2" w:tentative="0">
      <w:start w:val="1"/>
      <w:numFmt w:val="decimal"/>
      <w:isLgl/>
      <w:suff w:val="space"/>
      <w:lvlText w:val="%1.%2.%3"/>
      <w:lvlJc w:val="left"/>
      <w:pPr>
        <w:ind w:left="720" w:hanging="720"/>
      </w:pPr>
      <w:rPr>
        <w:rFonts w:hint="eastAsia"/>
      </w:rPr>
    </w:lvl>
    <w:lvl w:ilvl="3" w:tentative="0">
      <w:start w:val="1"/>
      <w:numFmt w:val="decimal"/>
      <w:isLgl/>
      <w:suff w:val="space"/>
      <w:lvlText w:val="%1.%2.%3.%4"/>
      <w:lvlJc w:val="left"/>
      <w:pPr>
        <w:ind w:left="864" w:hanging="864"/>
      </w:pPr>
      <w:rPr>
        <w:rFonts w:hint="eastAsia"/>
      </w:rPr>
    </w:lvl>
    <w:lvl w:ilvl="4" w:tentative="0">
      <w:start w:val="1"/>
      <w:numFmt w:val="decimal"/>
      <w:isLgl/>
      <w:suff w:val="space"/>
      <w:lvlText w:val="%1.%2.%3.%4.%5"/>
      <w:lvlJc w:val="left"/>
      <w:pPr>
        <w:ind w:left="1008" w:hanging="1008"/>
      </w:pPr>
      <w:rPr>
        <w:rFonts w:hint="eastAsia"/>
      </w:rPr>
    </w:lvl>
    <w:lvl w:ilvl="5" w:tentative="0">
      <w:start w:val="1"/>
      <w:numFmt w:val="decimal"/>
      <w:isLgl/>
      <w:suff w:val="space"/>
      <w:lvlText w:val="%1.%2.%3.%4.%5.%6"/>
      <w:lvlJc w:val="left"/>
      <w:pPr>
        <w:ind w:left="1152" w:hanging="1152"/>
      </w:pPr>
      <w:rPr>
        <w:rFonts w:hint="eastAsia"/>
      </w:rPr>
    </w:lvl>
    <w:lvl w:ilvl="6" w:tentative="0">
      <w:start w:val="1"/>
      <w:numFmt w:val="decimal"/>
      <w:isLgl/>
      <w:suff w:val="space"/>
      <w:lvlText w:val="%1.%2.%3.%4.%5.%6.%7"/>
      <w:lvlJc w:val="left"/>
      <w:pPr>
        <w:ind w:left="1296" w:hanging="1296"/>
      </w:pPr>
      <w:rPr>
        <w:rFonts w:hint="eastAsia"/>
      </w:rPr>
    </w:lvl>
    <w:lvl w:ilvl="7" w:tentative="0">
      <w:start w:val="1"/>
      <w:numFmt w:val="decimal"/>
      <w:isLgl/>
      <w:suff w:val="space"/>
      <w:lvlText w:val="%1.%2.%3.%4.%5.%6.%7.%8"/>
      <w:lvlJc w:val="left"/>
      <w:pPr>
        <w:ind w:left="1440" w:hanging="1440"/>
      </w:pPr>
      <w:rPr>
        <w:rFonts w:hint="eastAsia"/>
        <w:b/>
        <w:i w:val="0"/>
      </w:rPr>
    </w:lvl>
    <w:lvl w:ilvl="8" w:tentative="0">
      <w:start w:val="1"/>
      <w:numFmt w:val="decimal"/>
      <w:isLgl/>
      <w:suff w:val="space"/>
      <w:lvlText w:val="%1.%2.%3.%4.%5.%6.%7.%8.%9"/>
      <w:lvlJc w:val="left"/>
      <w:pPr>
        <w:ind w:left="1584" w:hanging="1584"/>
      </w:pPr>
      <w:rPr>
        <w:rFonts w:hint="eastAsia"/>
        <w:b/>
        <w:i w:val="0"/>
      </w:rPr>
    </w:lvl>
  </w:abstractNum>
  <w:abstractNum w:abstractNumId="52">
    <w:nsid w:val="69D979DC"/>
    <w:multiLevelType w:val="multilevel"/>
    <w:tmpl w:val="69D979DC"/>
    <w:lvl w:ilvl="0" w:tentative="0">
      <w:start w:val="1"/>
      <w:numFmt w:val="decimal"/>
      <w:pStyle w:val="90"/>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3">
    <w:nsid w:val="718C5501"/>
    <w:multiLevelType w:val="multilevel"/>
    <w:tmpl w:val="718C5501"/>
    <w:lvl w:ilvl="0" w:tentative="0">
      <w:start w:val="1"/>
      <w:numFmt w:val="decimal"/>
      <w:pStyle w:val="170"/>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4">
    <w:nsid w:val="748AE312"/>
    <w:multiLevelType w:val="singleLevel"/>
    <w:tmpl w:val="748AE312"/>
    <w:lvl w:ilvl="0" w:tentative="0">
      <w:start w:val="1"/>
      <w:numFmt w:val="decimal"/>
      <w:lvlText w:val="%1."/>
      <w:lvlJc w:val="left"/>
      <w:pPr>
        <w:tabs>
          <w:tab w:val="left" w:pos="312"/>
        </w:tabs>
      </w:pPr>
    </w:lvl>
  </w:abstractNum>
  <w:abstractNum w:abstractNumId="55">
    <w:nsid w:val="76D352BD"/>
    <w:multiLevelType w:val="multilevel"/>
    <w:tmpl w:val="76D352BD"/>
    <w:lvl w:ilvl="0" w:tentative="0">
      <w:start w:val="1"/>
      <w:numFmt w:val="decimal"/>
      <w:lvlText w:val="%1"/>
      <w:lvlJc w:val="left"/>
      <w:pPr>
        <w:tabs>
          <w:tab w:val="left" w:pos="425"/>
        </w:tabs>
        <w:ind w:left="425" w:hanging="425"/>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8"/>
        </w:tabs>
        <w:ind w:left="1418" w:hanging="567"/>
      </w:pPr>
    </w:lvl>
    <w:lvl w:ilvl="3" w:tentative="0">
      <w:start w:val="1"/>
      <w:numFmt w:val="decimal"/>
      <w:pStyle w:val="132"/>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56">
    <w:nsid w:val="77F51F85"/>
    <w:multiLevelType w:val="multilevel"/>
    <w:tmpl w:val="77F51F85"/>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7">
    <w:nsid w:val="7B136659"/>
    <w:multiLevelType w:val="multilevel"/>
    <w:tmpl w:val="7B136659"/>
    <w:lvl w:ilvl="0" w:tentative="0">
      <w:start w:val="1"/>
      <w:numFmt w:val="decimal"/>
      <w:lvlText w:val="%1)"/>
      <w:lvlJc w:val="left"/>
      <w:pPr>
        <w:ind w:left="425" w:hanging="425"/>
      </w:pPr>
      <w:rPr>
        <w:rFonts w:ascii="宋体" w:hAnsi="宋体" w:eastAsia="宋体"/>
      </w:rPr>
    </w:lvl>
    <w:lvl w:ilvl="1" w:tentative="0">
      <w:start w:val="1"/>
      <w:numFmt w:val="decimal"/>
      <w:lvlText w:val="（%2）"/>
      <w:lvlJc w:val="left"/>
      <w:pPr>
        <w:ind w:left="865" w:hanging="440"/>
      </w:pPr>
      <w:rPr>
        <w:rFonts w:hint="default" w:ascii="Arial" w:hAnsi="Arial" w:cs="Arial"/>
        <w:b/>
        <w:color w:val="333333"/>
        <w:sz w:val="21"/>
      </w:rPr>
    </w:lvl>
    <w:lvl w:ilvl="2" w:tentative="0">
      <w:start w:val="1"/>
      <w:numFmt w:val="decimal"/>
      <w:lvlText w:val="%1.%2.%3"/>
      <w:lvlJc w:val="left"/>
      <w:pPr>
        <w:ind w:left="1418" w:hanging="567"/>
      </w:pPr>
      <w:rPr>
        <w:rFonts w:ascii="宋体" w:hAnsi="宋体" w:eastAsia="宋体"/>
      </w:r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15"/>
  </w:num>
  <w:num w:numId="2">
    <w:abstractNumId w:val="29"/>
  </w:num>
  <w:num w:numId="3">
    <w:abstractNumId w:val="34"/>
  </w:num>
  <w:num w:numId="4">
    <w:abstractNumId w:val="52"/>
  </w:num>
  <w:num w:numId="5">
    <w:abstractNumId w:val="55"/>
  </w:num>
  <w:num w:numId="6">
    <w:abstractNumId w:val="42"/>
  </w:num>
  <w:num w:numId="7">
    <w:abstractNumId w:val="53"/>
  </w:num>
  <w:num w:numId="8">
    <w:abstractNumId w:val="23"/>
  </w:num>
  <w:num w:numId="9">
    <w:abstractNumId w:val="38"/>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9"/>
  </w:num>
  <w:num w:numId="13">
    <w:abstractNumId w:val="56"/>
  </w:num>
  <w:num w:numId="14">
    <w:abstractNumId w:val="10"/>
  </w:num>
  <w:num w:numId="15">
    <w:abstractNumId w:val="25"/>
  </w:num>
  <w:num w:numId="16">
    <w:abstractNumId w:val="0"/>
  </w:num>
  <w:num w:numId="17">
    <w:abstractNumId w:val="8"/>
  </w:num>
  <w:num w:numId="18">
    <w:abstractNumId w:val="11"/>
  </w:num>
  <w:num w:numId="19">
    <w:abstractNumId w:val="1"/>
  </w:num>
  <w:num w:numId="20">
    <w:abstractNumId w:val="7"/>
  </w:num>
  <w:num w:numId="21">
    <w:abstractNumId w:val="13"/>
  </w:num>
  <w:num w:numId="22">
    <w:abstractNumId w:val="35"/>
  </w:num>
  <w:num w:numId="23">
    <w:abstractNumId w:val="39"/>
  </w:num>
  <w:num w:numId="24">
    <w:abstractNumId w:val="46"/>
  </w:num>
  <w:num w:numId="25">
    <w:abstractNumId w:val="16"/>
  </w:num>
  <w:num w:numId="26">
    <w:abstractNumId w:val="18"/>
  </w:num>
  <w:num w:numId="27">
    <w:abstractNumId w:val="50"/>
  </w:num>
  <w:num w:numId="28">
    <w:abstractNumId w:val="30"/>
  </w:num>
  <w:num w:numId="29">
    <w:abstractNumId w:val="19"/>
  </w:num>
  <w:num w:numId="30">
    <w:abstractNumId w:val="17"/>
  </w:num>
  <w:num w:numId="31">
    <w:abstractNumId w:val="14"/>
  </w:num>
  <w:num w:numId="32">
    <w:abstractNumId w:val="41"/>
  </w:num>
  <w:num w:numId="33">
    <w:abstractNumId w:val="45"/>
  </w:num>
  <w:num w:numId="34">
    <w:abstractNumId w:val="24"/>
  </w:num>
  <w:num w:numId="35">
    <w:abstractNumId w:val="44"/>
  </w:num>
  <w:num w:numId="36">
    <w:abstractNumId w:val="57"/>
  </w:num>
  <w:num w:numId="37">
    <w:abstractNumId w:val="33"/>
  </w:num>
  <w:num w:numId="38">
    <w:abstractNumId w:val="48"/>
  </w:num>
  <w:num w:numId="39">
    <w:abstractNumId w:val="40"/>
  </w:num>
  <w:num w:numId="40">
    <w:abstractNumId w:val="47"/>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21"/>
  </w:num>
  <w:num w:numId="44">
    <w:abstractNumId w:val="22"/>
  </w:num>
  <w:num w:numId="45">
    <w:abstractNumId w:val="37"/>
  </w:num>
  <w:num w:numId="46">
    <w:abstractNumId w:val="31"/>
  </w:num>
  <w:num w:numId="47">
    <w:abstractNumId w:val="26"/>
  </w:num>
  <w:num w:numId="48">
    <w:abstractNumId w:val="12"/>
  </w:num>
  <w:num w:numId="49">
    <w:abstractNumId w:val="3"/>
  </w:num>
  <w:num w:numId="50">
    <w:abstractNumId w:val="2"/>
  </w:num>
  <w:num w:numId="51">
    <w:abstractNumId w:val="32"/>
  </w:num>
  <w:num w:numId="52">
    <w:abstractNumId w:val="49"/>
  </w:num>
  <w:num w:numId="53">
    <w:abstractNumId w:val="28"/>
  </w:num>
  <w:num w:numId="54">
    <w:abstractNumId w:val="43"/>
  </w:num>
  <w:num w:numId="55">
    <w:abstractNumId w:val="54"/>
  </w:num>
  <w:num w:numId="56">
    <w:abstractNumId w:val="6"/>
  </w:num>
  <w:num w:numId="57">
    <w:abstractNumId w:val="36"/>
  </w:num>
  <w:num w:numId="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attachedTemplate r:id="rId1"/>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FmOGM1YjczMjM5YmU1Y2RjYzRjZGM1ZTdmZmViMjAifQ=="/>
  </w:docVars>
  <w:rsids>
    <w:rsidRoot w:val="001B51AA"/>
    <w:rsid w:val="0000252A"/>
    <w:rsid w:val="000028C4"/>
    <w:rsid w:val="000104DE"/>
    <w:rsid w:val="00011A82"/>
    <w:rsid w:val="00012A99"/>
    <w:rsid w:val="00015491"/>
    <w:rsid w:val="00016F42"/>
    <w:rsid w:val="00025C0A"/>
    <w:rsid w:val="00025F25"/>
    <w:rsid w:val="0002656D"/>
    <w:rsid w:val="00026ED3"/>
    <w:rsid w:val="000305CF"/>
    <w:rsid w:val="00032539"/>
    <w:rsid w:val="00034135"/>
    <w:rsid w:val="00034A50"/>
    <w:rsid w:val="00036086"/>
    <w:rsid w:val="00037298"/>
    <w:rsid w:val="000402DB"/>
    <w:rsid w:val="00040571"/>
    <w:rsid w:val="0004343B"/>
    <w:rsid w:val="00043629"/>
    <w:rsid w:val="0004515F"/>
    <w:rsid w:val="0004665E"/>
    <w:rsid w:val="00046FC0"/>
    <w:rsid w:val="00051AD5"/>
    <w:rsid w:val="0005270E"/>
    <w:rsid w:val="00054C68"/>
    <w:rsid w:val="00056AEC"/>
    <w:rsid w:val="00057421"/>
    <w:rsid w:val="00057892"/>
    <w:rsid w:val="00065F83"/>
    <w:rsid w:val="000665FB"/>
    <w:rsid w:val="00072A69"/>
    <w:rsid w:val="00082372"/>
    <w:rsid w:val="00085755"/>
    <w:rsid w:val="000870B3"/>
    <w:rsid w:val="00087EE0"/>
    <w:rsid w:val="00090D3A"/>
    <w:rsid w:val="0009578B"/>
    <w:rsid w:val="00095B9D"/>
    <w:rsid w:val="00095D47"/>
    <w:rsid w:val="000A4D3A"/>
    <w:rsid w:val="000A698F"/>
    <w:rsid w:val="000A6BD2"/>
    <w:rsid w:val="000A7842"/>
    <w:rsid w:val="000B0D9B"/>
    <w:rsid w:val="000B1A0B"/>
    <w:rsid w:val="000B33C4"/>
    <w:rsid w:val="000B6741"/>
    <w:rsid w:val="000B73A6"/>
    <w:rsid w:val="000C1BB0"/>
    <w:rsid w:val="000C1D6E"/>
    <w:rsid w:val="000C548E"/>
    <w:rsid w:val="000C56B5"/>
    <w:rsid w:val="000C79E6"/>
    <w:rsid w:val="000C7C27"/>
    <w:rsid w:val="000D136C"/>
    <w:rsid w:val="000D2591"/>
    <w:rsid w:val="000D2F83"/>
    <w:rsid w:val="000D3DB5"/>
    <w:rsid w:val="000D5211"/>
    <w:rsid w:val="000D72AB"/>
    <w:rsid w:val="000E133E"/>
    <w:rsid w:val="000E160E"/>
    <w:rsid w:val="000E1EFC"/>
    <w:rsid w:val="000E301E"/>
    <w:rsid w:val="000E3A32"/>
    <w:rsid w:val="000E5343"/>
    <w:rsid w:val="000E5EB7"/>
    <w:rsid w:val="000E6BBA"/>
    <w:rsid w:val="000F4221"/>
    <w:rsid w:val="000F562E"/>
    <w:rsid w:val="0010276D"/>
    <w:rsid w:val="00106574"/>
    <w:rsid w:val="0010696F"/>
    <w:rsid w:val="001103AD"/>
    <w:rsid w:val="001106F7"/>
    <w:rsid w:val="00111A6F"/>
    <w:rsid w:val="00113E54"/>
    <w:rsid w:val="0011666E"/>
    <w:rsid w:val="0012372A"/>
    <w:rsid w:val="0012670B"/>
    <w:rsid w:val="00131C9A"/>
    <w:rsid w:val="00147BE5"/>
    <w:rsid w:val="001641B5"/>
    <w:rsid w:val="00172B31"/>
    <w:rsid w:val="001744F1"/>
    <w:rsid w:val="00174E77"/>
    <w:rsid w:val="0018198D"/>
    <w:rsid w:val="00183C91"/>
    <w:rsid w:val="00186B2C"/>
    <w:rsid w:val="00187684"/>
    <w:rsid w:val="0019454A"/>
    <w:rsid w:val="00196D09"/>
    <w:rsid w:val="001A234F"/>
    <w:rsid w:val="001A4537"/>
    <w:rsid w:val="001A5510"/>
    <w:rsid w:val="001A6A80"/>
    <w:rsid w:val="001B22DD"/>
    <w:rsid w:val="001B3266"/>
    <w:rsid w:val="001B51AA"/>
    <w:rsid w:val="001B572D"/>
    <w:rsid w:val="001C34A0"/>
    <w:rsid w:val="001D0455"/>
    <w:rsid w:val="001D17F3"/>
    <w:rsid w:val="001D4490"/>
    <w:rsid w:val="001D5C7B"/>
    <w:rsid w:val="001D7C27"/>
    <w:rsid w:val="001E5882"/>
    <w:rsid w:val="001E5B67"/>
    <w:rsid w:val="001E6252"/>
    <w:rsid w:val="001E6808"/>
    <w:rsid w:val="001F0894"/>
    <w:rsid w:val="001F3624"/>
    <w:rsid w:val="001F3CC3"/>
    <w:rsid w:val="001F4E55"/>
    <w:rsid w:val="001F5C74"/>
    <w:rsid w:val="002026D7"/>
    <w:rsid w:val="00204A99"/>
    <w:rsid w:val="0020657E"/>
    <w:rsid w:val="00206711"/>
    <w:rsid w:val="00224194"/>
    <w:rsid w:val="002262E2"/>
    <w:rsid w:val="00234D61"/>
    <w:rsid w:val="0023549F"/>
    <w:rsid w:val="002358EB"/>
    <w:rsid w:val="00235906"/>
    <w:rsid w:val="00235A6C"/>
    <w:rsid w:val="0023661F"/>
    <w:rsid w:val="00241B8E"/>
    <w:rsid w:val="0024307E"/>
    <w:rsid w:val="00243778"/>
    <w:rsid w:val="00244C9A"/>
    <w:rsid w:val="00244DA0"/>
    <w:rsid w:val="00245732"/>
    <w:rsid w:val="00250691"/>
    <w:rsid w:val="00257BF3"/>
    <w:rsid w:val="002679EA"/>
    <w:rsid w:val="00270407"/>
    <w:rsid w:val="00270F56"/>
    <w:rsid w:val="00274E64"/>
    <w:rsid w:val="00280ECE"/>
    <w:rsid w:val="00282E57"/>
    <w:rsid w:val="00283BDD"/>
    <w:rsid w:val="00285673"/>
    <w:rsid w:val="00291175"/>
    <w:rsid w:val="002A035F"/>
    <w:rsid w:val="002A2586"/>
    <w:rsid w:val="002A47A7"/>
    <w:rsid w:val="002B03CD"/>
    <w:rsid w:val="002B1821"/>
    <w:rsid w:val="002C35F3"/>
    <w:rsid w:val="002C6713"/>
    <w:rsid w:val="002C725A"/>
    <w:rsid w:val="002D5C00"/>
    <w:rsid w:val="002D7393"/>
    <w:rsid w:val="002D79B2"/>
    <w:rsid w:val="002E2DF2"/>
    <w:rsid w:val="002E37F2"/>
    <w:rsid w:val="002F040E"/>
    <w:rsid w:val="002F2137"/>
    <w:rsid w:val="002F3089"/>
    <w:rsid w:val="002F3BB6"/>
    <w:rsid w:val="002F5CBB"/>
    <w:rsid w:val="002F60CD"/>
    <w:rsid w:val="002F7138"/>
    <w:rsid w:val="00300845"/>
    <w:rsid w:val="0030151F"/>
    <w:rsid w:val="003022A4"/>
    <w:rsid w:val="00303167"/>
    <w:rsid w:val="0030383D"/>
    <w:rsid w:val="00304278"/>
    <w:rsid w:val="00313881"/>
    <w:rsid w:val="00313F7E"/>
    <w:rsid w:val="00314EC5"/>
    <w:rsid w:val="00315A36"/>
    <w:rsid w:val="00317687"/>
    <w:rsid w:val="003176DE"/>
    <w:rsid w:val="003202E2"/>
    <w:rsid w:val="00321514"/>
    <w:rsid w:val="0032664E"/>
    <w:rsid w:val="00326F57"/>
    <w:rsid w:val="00327846"/>
    <w:rsid w:val="00331C20"/>
    <w:rsid w:val="00337434"/>
    <w:rsid w:val="00341CF8"/>
    <w:rsid w:val="00345439"/>
    <w:rsid w:val="003463AD"/>
    <w:rsid w:val="00346C59"/>
    <w:rsid w:val="00346ED6"/>
    <w:rsid w:val="003478A8"/>
    <w:rsid w:val="0035527A"/>
    <w:rsid w:val="003613EC"/>
    <w:rsid w:val="0036385E"/>
    <w:rsid w:val="003668AA"/>
    <w:rsid w:val="00372B5F"/>
    <w:rsid w:val="0037350A"/>
    <w:rsid w:val="00374316"/>
    <w:rsid w:val="00377D76"/>
    <w:rsid w:val="00380910"/>
    <w:rsid w:val="00381D2A"/>
    <w:rsid w:val="003845DF"/>
    <w:rsid w:val="003951A3"/>
    <w:rsid w:val="00396910"/>
    <w:rsid w:val="00397BD2"/>
    <w:rsid w:val="003B2A4D"/>
    <w:rsid w:val="003B5B20"/>
    <w:rsid w:val="003B7895"/>
    <w:rsid w:val="003C0EEF"/>
    <w:rsid w:val="003C3AAA"/>
    <w:rsid w:val="003C3C73"/>
    <w:rsid w:val="003C5614"/>
    <w:rsid w:val="003C65C0"/>
    <w:rsid w:val="003C77C0"/>
    <w:rsid w:val="003C77F9"/>
    <w:rsid w:val="003C7C8A"/>
    <w:rsid w:val="003D0415"/>
    <w:rsid w:val="003D05D5"/>
    <w:rsid w:val="003D0761"/>
    <w:rsid w:val="003D47A6"/>
    <w:rsid w:val="003D5C6F"/>
    <w:rsid w:val="003D70B3"/>
    <w:rsid w:val="003E431B"/>
    <w:rsid w:val="003E4F9F"/>
    <w:rsid w:val="003F1BC3"/>
    <w:rsid w:val="003F49C4"/>
    <w:rsid w:val="003F5358"/>
    <w:rsid w:val="00404EBE"/>
    <w:rsid w:val="004122CE"/>
    <w:rsid w:val="004130B3"/>
    <w:rsid w:val="00414AE1"/>
    <w:rsid w:val="0042377A"/>
    <w:rsid w:val="00427C7E"/>
    <w:rsid w:val="00430FAC"/>
    <w:rsid w:val="00432DDB"/>
    <w:rsid w:val="00435165"/>
    <w:rsid w:val="004433B0"/>
    <w:rsid w:val="00445723"/>
    <w:rsid w:val="00446619"/>
    <w:rsid w:val="00447769"/>
    <w:rsid w:val="00451DB3"/>
    <w:rsid w:val="004541EC"/>
    <w:rsid w:val="0046012D"/>
    <w:rsid w:val="00463919"/>
    <w:rsid w:val="0046433E"/>
    <w:rsid w:val="0046790E"/>
    <w:rsid w:val="00470AF2"/>
    <w:rsid w:val="00471530"/>
    <w:rsid w:val="00472E1D"/>
    <w:rsid w:val="00473C51"/>
    <w:rsid w:val="00475178"/>
    <w:rsid w:val="004818B7"/>
    <w:rsid w:val="004849E4"/>
    <w:rsid w:val="00494408"/>
    <w:rsid w:val="00495A7E"/>
    <w:rsid w:val="004A1816"/>
    <w:rsid w:val="004A23B7"/>
    <w:rsid w:val="004A268B"/>
    <w:rsid w:val="004A4854"/>
    <w:rsid w:val="004A4F26"/>
    <w:rsid w:val="004A55BE"/>
    <w:rsid w:val="004B1C20"/>
    <w:rsid w:val="004B31A8"/>
    <w:rsid w:val="004B3D99"/>
    <w:rsid w:val="004B505F"/>
    <w:rsid w:val="004B5168"/>
    <w:rsid w:val="004D02B5"/>
    <w:rsid w:val="004D16D1"/>
    <w:rsid w:val="004D7374"/>
    <w:rsid w:val="004D7731"/>
    <w:rsid w:val="004E014F"/>
    <w:rsid w:val="004E1DDB"/>
    <w:rsid w:val="004E5919"/>
    <w:rsid w:val="004E7CD1"/>
    <w:rsid w:val="004F158A"/>
    <w:rsid w:val="004F741B"/>
    <w:rsid w:val="00500C32"/>
    <w:rsid w:val="005050A1"/>
    <w:rsid w:val="00506461"/>
    <w:rsid w:val="00507876"/>
    <w:rsid w:val="00510E52"/>
    <w:rsid w:val="005122F1"/>
    <w:rsid w:val="00513019"/>
    <w:rsid w:val="00516C96"/>
    <w:rsid w:val="00517C20"/>
    <w:rsid w:val="005234F0"/>
    <w:rsid w:val="00523A83"/>
    <w:rsid w:val="00527F95"/>
    <w:rsid w:val="00531E6F"/>
    <w:rsid w:val="005327DA"/>
    <w:rsid w:val="00532E9A"/>
    <w:rsid w:val="00536924"/>
    <w:rsid w:val="0054053E"/>
    <w:rsid w:val="00550DF7"/>
    <w:rsid w:val="00551734"/>
    <w:rsid w:val="00554B83"/>
    <w:rsid w:val="0055560C"/>
    <w:rsid w:val="0055594D"/>
    <w:rsid w:val="00560E95"/>
    <w:rsid w:val="00561AD8"/>
    <w:rsid w:val="005659D0"/>
    <w:rsid w:val="00565F4B"/>
    <w:rsid w:val="00566FC8"/>
    <w:rsid w:val="005679FA"/>
    <w:rsid w:val="00574507"/>
    <w:rsid w:val="00575783"/>
    <w:rsid w:val="00575E43"/>
    <w:rsid w:val="005763E0"/>
    <w:rsid w:val="005769F9"/>
    <w:rsid w:val="00577A1A"/>
    <w:rsid w:val="00580066"/>
    <w:rsid w:val="00580B8F"/>
    <w:rsid w:val="00586FE2"/>
    <w:rsid w:val="00587ADD"/>
    <w:rsid w:val="0059059F"/>
    <w:rsid w:val="00590D73"/>
    <w:rsid w:val="00592DE5"/>
    <w:rsid w:val="0059654E"/>
    <w:rsid w:val="005970F6"/>
    <w:rsid w:val="005A3BB6"/>
    <w:rsid w:val="005A7767"/>
    <w:rsid w:val="005B67AA"/>
    <w:rsid w:val="005C1819"/>
    <w:rsid w:val="005C33DE"/>
    <w:rsid w:val="005C3CB4"/>
    <w:rsid w:val="005C5865"/>
    <w:rsid w:val="005D095E"/>
    <w:rsid w:val="005D0C56"/>
    <w:rsid w:val="005D0DFD"/>
    <w:rsid w:val="005D7EC2"/>
    <w:rsid w:val="005E221B"/>
    <w:rsid w:val="005E3A44"/>
    <w:rsid w:val="005E496A"/>
    <w:rsid w:val="005E76BC"/>
    <w:rsid w:val="00605ABE"/>
    <w:rsid w:val="00611DE2"/>
    <w:rsid w:val="00614135"/>
    <w:rsid w:val="00614708"/>
    <w:rsid w:val="00615388"/>
    <w:rsid w:val="00636E40"/>
    <w:rsid w:val="00642511"/>
    <w:rsid w:val="00650B44"/>
    <w:rsid w:val="00650F32"/>
    <w:rsid w:val="0065380B"/>
    <w:rsid w:val="006539B0"/>
    <w:rsid w:val="00656E63"/>
    <w:rsid w:val="006606FE"/>
    <w:rsid w:val="006710A0"/>
    <w:rsid w:val="00673786"/>
    <w:rsid w:val="00675F73"/>
    <w:rsid w:val="00677EF1"/>
    <w:rsid w:val="0068083E"/>
    <w:rsid w:val="00681B2F"/>
    <w:rsid w:val="00683A0D"/>
    <w:rsid w:val="00686DDC"/>
    <w:rsid w:val="00690D60"/>
    <w:rsid w:val="00692BCD"/>
    <w:rsid w:val="00695DE5"/>
    <w:rsid w:val="00695F6F"/>
    <w:rsid w:val="00696108"/>
    <w:rsid w:val="006A2831"/>
    <w:rsid w:val="006A4E8D"/>
    <w:rsid w:val="006A565A"/>
    <w:rsid w:val="006A5878"/>
    <w:rsid w:val="006A75A8"/>
    <w:rsid w:val="006B50B9"/>
    <w:rsid w:val="006C324D"/>
    <w:rsid w:val="006C5DFF"/>
    <w:rsid w:val="006D0F49"/>
    <w:rsid w:val="006D1270"/>
    <w:rsid w:val="006D4041"/>
    <w:rsid w:val="006D4388"/>
    <w:rsid w:val="006D4590"/>
    <w:rsid w:val="006E021A"/>
    <w:rsid w:val="006E1C40"/>
    <w:rsid w:val="006E2BB5"/>
    <w:rsid w:val="006E7174"/>
    <w:rsid w:val="006E7A44"/>
    <w:rsid w:val="006F27D4"/>
    <w:rsid w:val="006F3FAB"/>
    <w:rsid w:val="006F70FD"/>
    <w:rsid w:val="00703333"/>
    <w:rsid w:val="007045B7"/>
    <w:rsid w:val="0070497E"/>
    <w:rsid w:val="00706073"/>
    <w:rsid w:val="007102E0"/>
    <w:rsid w:val="007146C5"/>
    <w:rsid w:val="0071525B"/>
    <w:rsid w:val="00720C65"/>
    <w:rsid w:val="00721637"/>
    <w:rsid w:val="00725852"/>
    <w:rsid w:val="00732032"/>
    <w:rsid w:val="00736223"/>
    <w:rsid w:val="00740441"/>
    <w:rsid w:val="00743175"/>
    <w:rsid w:val="00743A24"/>
    <w:rsid w:val="00744A36"/>
    <w:rsid w:val="00745E3A"/>
    <w:rsid w:val="00745E7A"/>
    <w:rsid w:val="00746834"/>
    <w:rsid w:val="00747E4D"/>
    <w:rsid w:val="00747ED7"/>
    <w:rsid w:val="007513DC"/>
    <w:rsid w:val="00752AE8"/>
    <w:rsid w:val="007531E6"/>
    <w:rsid w:val="007535C7"/>
    <w:rsid w:val="00756511"/>
    <w:rsid w:val="0075762D"/>
    <w:rsid w:val="007619D1"/>
    <w:rsid w:val="00765D05"/>
    <w:rsid w:val="007704F7"/>
    <w:rsid w:val="007707F1"/>
    <w:rsid w:val="00771C23"/>
    <w:rsid w:val="0077597C"/>
    <w:rsid w:val="00775996"/>
    <w:rsid w:val="00775F0D"/>
    <w:rsid w:val="0078421C"/>
    <w:rsid w:val="00784AB0"/>
    <w:rsid w:val="00787E3A"/>
    <w:rsid w:val="00792950"/>
    <w:rsid w:val="00793FC7"/>
    <w:rsid w:val="00795D49"/>
    <w:rsid w:val="0079681C"/>
    <w:rsid w:val="007973B7"/>
    <w:rsid w:val="007A0A8F"/>
    <w:rsid w:val="007A1775"/>
    <w:rsid w:val="007A2C79"/>
    <w:rsid w:val="007B6B7C"/>
    <w:rsid w:val="007C055C"/>
    <w:rsid w:val="007C2ABE"/>
    <w:rsid w:val="007C5ADF"/>
    <w:rsid w:val="007C6593"/>
    <w:rsid w:val="007C7D55"/>
    <w:rsid w:val="007D500A"/>
    <w:rsid w:val="007D707D"/>
    <w:rsid w:val="007E0FDE"/>
    <w:rsid w:val="007E1A44"/>
    <w:rsid w:val="007E3808"/>
    <w:rsid w:val="007E6790"/>
    <w:rsid w:val="007F01EA"/>
    <w:rsid w:val="007F13C2"/>
    <w:rsid w:val="007F272A"/>
    <w:rsid w:val="007F29E6"/>
    <w:rsid w:val="007F6A63"/>
    <w:rsid w:val="007F7064"/>
    <w:rsid w:val="008045C6"/>
    <w:rsid w:val="0081389E"/>
    <w:rsid w:val="00820391"/>
    <w:rsid w:val="008269AB"/>
    <w:rsid w:val="008316C4"/>
    <w:rsid w:val="008320D7"/>
    <w:rsid w:val="00833489"/>
    <w:rsid w:val="008351D0"/>
    <w:rsid w:val="0083617B"/>
    <w:rsid w:val="008371FD"/>
    <w:rsid w:val="00837BE9"/>
    <w:rsid w:val="00842469"/>
    <w:rsid w:val="008425F4"/>
    <w:rsid w:val="008442BB"/>
    <w:rsid w:val="0084672A"/>
    <w:rsid w:val="00847654"/>
    <w:rsid w:val="00852C8E"/>
    <w:rsid w:val="008530CB"/>
    <w:rsid w:val="008538D8"/>
    <w:rsid w:val="00854D71"/>
    <w:rsid w:val="008553C3"/>
    <w:rsid w:val="008557B1"/>
    <w:rsid w:val="008606FA"/>
    <w:rsid w:val="00863545"/>
    <w:rsid w:val="00871A58"/>
    <w:rsid w:val="0087509C"/>
    <w:rsid w:val="00875661"/>
    <w:rsid w:val="008762C8"/>
    <w:rsid w:val="008814CB"/>
    <w:rsid w:val="00884CFB"/>
    <w:rsid w:val="0088578F"/>
    <w:rsid w:val="00886E58"/>
    <w:rsid w:val="00890200"/>
    <w:rsid w:val="008955E8"/>
    <w:rsid w:val="00895B66"/>
    <w:rsid w:val="00897F2C"/>
    <w:rsid w:val="008A2229"/>
    <w:rsid w:val="008A6AC2"/>
    <w:rsid w:val="008B05F0"/>
    <w:rsid w:val="008B1388"/>
    <w:rsid w:val="008B22FD"/>
    <w:rsid w:val="008B35A6"/>
    <w:rsid w:val="008B65D7"/>
    <w:rsid w:val="008B66D2"/>
    <w:rsid w:val="008C1F46"/>
    <w:rsid w:val="008C1F8F"/>
    <w:rsid w:val="008C452D"/>
    <w:rsid w:val="008C51E8"/>
    <w:rsid w:val="008D16F6"/>
    <w:rsid w:val="008D20DA"/>
    <w:rsid w:val="008D2168"/>
    <w:rsid w:val="008D53E6"/>
    <w:rsid w:val="008D6925"/>
    <w:rsid w:val="008E2D64"/>
    <w:rsid w:val="008F66C5"/>
    <w:rsid w:val="009009C7"/>
    <w:rsid w:val="009036F0"/>
    <w:rsid w:val="00904A4C"/>
    <w:rsid w:val="009124CD"/>
    <w:rsid w:val="00912A17"/>
    <w:rsid w:val="009177F9"/>
    <w:rsid w:val="00921F97"/>
    <w:rsid w:val="009233B5"/>
    <w:rsid w:val="00926214"/>
    <w:rsid w:val="00933576"/>
    <w:rsid w:val="00943DAF"/>
    <w:rsid w:val="00954910"/>
    <w:rsid w:val="00955285"/>
    <w:rsid w:val="00955B9D"/>
    <w:rsid w:val="00956FBD"/>
    <w:rsid w:val="00961DCA"/>
    <w:rsid w:val="00962E8E"/>
    <w:rsid w:val="00963DEA"/>
    <w:rsid w:val="0096649A"/>
    <w:rsid w:val="009709A5"/>
    <w:rsid w:val="00973D37"/>
    <w:rsid w:val="00975D07"/>
    <w:rsid w:val="00975DC6"/>
    <w:rsid w:val="00976808"/>
    <w:rsid w:val="0098376E"/>
    <w:rsid w:val="00987E8C"/>
    <w:rsid w:val="0099058A"/>
    <w:rsid w:val="0099087F"/>
    <w:rsid w:val="00997C2B"/>
    <w:rsid w:val="009A088A"/>
    <w:rsid w:val="009A3E55"/>
    <w:rsid w:val="009A4D6F"/>
    <w:rsid w:val="009A6BD0"/>
    <w:rsid w:val="009A6E8E"/>
    <w:rsid w:val="009A7420"/>
    <w:rsid w:val="009B64CA"/>
    <w:rsid w:val="009C036A"/>
    <w:rsid w:val="009C23F2"/>
    <w:rsid w:val="009C4126"/>
    <w:rsid w:val="009C56BC"/>
    <w:rsid w:val="009C7461"/>
    <w:rsid w:val="009C7A83"/>
    <w:rsid w:val="009D05A1"/>
    <w:rsid w:val="009D421B"/>
    <w:rsid w:val="009D6B3E"/>
    <w:rsid w:val="009D78E0"/>
    <w:rsid w:val="009F0143"/>
    <w:rsid w:val="009F1538"/>
    <w:rsid w:val="00A128BC"/>
    <w:rsid w:val="00A13CF8"/>
    <w:rsid w:val="00A13EE8"/>
    <w:rsid w:val="00A21215"/>
    <w:rsid w:val="00A260BA"/>
    <w:rsid w:val="00A26F44"/>
    <w:rsid w:val="00A32AC2"/>
    <w:rsid w:val="00A371C6"/>
    <w:rsid w:val="00A41059"/>
    <w:rsid w:val="00A43B3A"/>
    <w:rsid w:val="00A4527E"/>
    <w:rsid w:val="00A4593E"/>
    <w:rsid w:val="00A463CC"/>
    <w:rsid w:val="00A546FB"/>
    <w:rsid w:val="00A56B27"/>
    <w:rsid w:val="00A56C52"/>
    <w:rsid w:val="00A57986"/>
    <w:rsid w:val="00A57C4F"/>
    <w:rsid w:val="00A61132"/>
    <w:rsid w:val="00A672DA"/>
    <w:rsid w:val="00A7061A"/>
    <w:rsid w:val="00A71E21"/>
    <w:rsid w:val="00A72314"/>
    <w:rsid w:val="00A73412"/>
    <w:rsid w:val="00A740EC"/>
    <w:rsid w:val="00A74441"/>
    <w:rsid w:val="00A80FED"/>
    <w:rsid w:val="00A827F0"/>
    <w:rsid w:val="00A85E0E"/>
    <w:rsid w:val="00A90B3A"/>
    <w:rsid w:val="00A91052"/>
    <w:rsid w:val="00A91646"/>
    <w:rsid w:val="00A92F86"/>
    <w:rsid w:val="00AA4234"/>
    <w:rsid w:val="00AA44EA"/>
    <w:rsid w:val="00AA612F"/>
    <w:rsid w:val="00AA7557"/>
    <w:rsid w:val="00AA7D71"/>
    <w:rsid w:val="00AB2C7D"/>
    <w:rsid w:val="00AB6863"/>
    <w:rsid w:val="00AC0ED6"/>
    <w:rsid w:val="00AC4384"/>
    <w:rsid w:val="00AC7D49"/>
    <w:rsid w:val="00AD0528"/>
    <w:rsid w:val="00AD3188"/>
    <w:rsid w:val="00AD5888"/>
    <w:rsid w:val="00AE2B80"/>
    <w:rsid w:val="00AE41A5"/>
    <w:rsid w:val="00AE708F"/>
    <w:rsid w:val="00AF1EFD"/>
    <w:rsid w:val="00AF3D72"/>
    <w:rsid w:val="00AF5798"/>
    <w:rsid w:val="00AF6723"/>
    <w:rsid w:val="00B01585"/>
    <w:rsid w:val="00B02283"/>
    <w:rsid w:val="00B0525E"/>
    <w:rsid w:val="00B1386C"/>
    <w:rsid w:val="00B13E9B"/>
    <w:rsid w:val="00B2730F"/>
    <w:rsid w:val="00B32914"/>
    <w:rsid w:val="00B359E4"/>
    <w:rsid w:val="00B36C30"/>
    <w:rsid w:val="00B43426"/>
    <w:rsid w:val="00B44F78"/>
    <w:rsid w:val="00B51E8E"/>
    <w:rsid w:val="00B54CB3"/>
    <w:rsid w:val="00B67AD9"/>
    <w:rsid w:val="00B732D1"/>
    <w:rsid w:val="00B75A95"/>
    <w:rsid w:val="00B76759"/>
    <w:rsid w:val="00B80339"/>
    <w:rsid w:val="00B810D4"/>
    <w:rsid w:val="00B86CA4"/>
    <w:rsid w:val="00B87A5D"/>
    <w:rsid w:val="00B9059A"/>
    <w:rsid w:val="00B90DB9"/>
    <w:rsid w:val="00B95A05"/>
    <w:rsid w:val="00BA1F67"/>
    <w:rsid w:val="00BA3256"/>
    <w:rsid w:val="00BA7BCF"/>
    <w:rsid w:val="00BB013A"/>
    <w:rsid w:val="00BB1AD8"/>
    <w:rsid w:val="00BB1D4C"/>
    <w:rsid w:val="00BC203B"/>
    <w:rsid w:val="00BC505A"/>
    <w:rsid w:val="00BC54B6"/>
    <w:rsid w:val="00BC62B2"/>
    <w:rsid w:val="00BC7C9D"/>
    <w:rsid w:val="00BD0C1F"/>
    <w:rsid w:val="00BD1029"/>
    <w:rsid w:val="00BD5F50"/>
    <w:rsid w:val="00BE74A7"/>
    <w:rsid w:val="00BF273A"/>
    <w:rsid w:val="00BF3FD0"/>
    <w:rsid w:val="00BF4B8D"/>
    <w:rsid w:val="00C00BF5"/>
    <w:rsid w:val="00C01EB1"/>
    <w:rsid w:val="00C02021"/>
    <w:rsid w:val="00C035F4"/>
    <w:rsid w:val="00C04ACA"/>
    <w:rsid w:val="00C053D9"/>
    <w:rsid w:val="00C27B07"/>
    <w:rsid w:val="00C35256"/>
    <w:rsid w:val="00C40605"/>
    <w:rsid w:val="00C44148"/>
    <w:rsid w:val="00C4591B"/>
    <w:rsid w:val="00C52189"/>
    <w:rsid w:val="00C52522"/>
    <w:rsid w:val="00C61286"/>
    <w:rsid w:val="00C63AFE"/>
    <w:rsid w:val="00C66001"/>
    <w:rsid w:val="00C746B1"/>
    <w:rsid w:val="00C778D3"/>
    <w:rsid w:val="00C80AFD"/>
    <w:rsid w:val="00C81716"/>
    <w:rsid w:val="00C82A83"/>
    <w:rsid w:val="00C85138"/>
    <w:rsid w:val="00C85253"/>
    <w:rsid w:val="00C87773"/>
    <w:rsid w:val="00C95D5D"/>
    <w:rsid w:val="00C972E0"/>
    <w:rsid w:val="00CA280A"/>
    <w:rsid w:val="00CA365B"/>
    <w:rsid w:val="00CA4447"/>
    <w:rsid w:val="00CB0795"/>
    <w:rsid w:val="00CB25D4"/>
    <w:rsid w:val="00CC0B44"/>
    <w:rsid w:val="00CC6B42"/>
    <w:rsid w:val="00CE2FEF"/>
    <w:rsid w:val="00CF0838"/>
    <w:rsid w:val="00CF4200"/>
    <w:rsid w:val="00CF4DC4"/>
    <w:rsid w:val="00D0255D"/>
    <w:rsid w:val="00D02D33"/>
    <w:rsid w:val="00D045C3"/>
    <w:rsid w:val="00D10000"/>
    <w:rsid w:val="00D12610"/>
    <w:rsid w:val="00D13F2C"/>
    <w:rsid w:val="00D20E33"/>
    <w:rsid w:val="00D3122C"/>
    <w:rsid w:val="00D36A73"/>
    <w:rsid w:val="00D36DCA"/>
    <w:rsid w:val="00D371B4"/>
    <w:rsid w:val="00D40F79"/>
    <w:rsid w:val="00D41ECE"/>
    <w:rsid w:val="00D431AF"/>
    <w:rsid w:val="00D435D8"/>
    <w:rsid w:val="00D44159"/>
    <w:rsid w:val="00D453B5"/>
    <w:rsid w:val="00D459E9"/>
    <w:rsid w:val="00D51018"/>
    <w:rsid w:val="00D619B8"/>
    <w:rsid w:val="00D64E57"/>
    <w:rsid w:val="00D67E45"/>
    <w:rsid w:val="00D70CA2"/>
    <w:rsid w:val="00D81E95"/>
    <w:rsid w:val="00D825D0"/>
    <w:rsid w:val="00D83B44"/>
    <w:rsid w:val="00D83C7F"/>
    <w:rsid w:val="00D84594"/>
    <w:rsid w:val="00D863D8"/>
    <w:rsid w:val="00D871D5"/>
    <w:rsid w:val="00D8761A"/>
    <w:rsid w:val="00D950B0"/>
    <w:rsid w:val="00D95495"/>
    <w:rsid w:val="00D96BC1"/>
    <w:rsid w:val="00DA29EC"/>
    <w:rsid w:val="00DA77DC"/>
    <w:rsid w:val="00DA7F3A"/>
    <w:rsid w:val="00DB0327"/>
    <w:rsid w:val="00DB1F3C"/>
    <w:rsid w:val="00DB3A2D"/>
    <w:rsid w:val="00DB49F6"/>
    <w:rsid w:val="00DC0097"/>
    <w:rsid w:val="00DC7DDB"/>
    <w:rsid w:val="00DD179C"/>
    <w:rsid w:val="00DD2BCB"/>
    <w:rsid w:val="00DE035F"/>
    <w:rsid w:val="00DE2E5A"/>
    <w:rsid w:val="00DF3E4D"/>
    <w:rsid w:val="00E038E7"/>
    <w:rsid w:val="00E0746F"/>
    <w:rsid w:val="00E10A4E"/>
    <w:rsid w:val="00E11F98"/>
    <w:rsid w:val="00E14AF5"/>
    <w:rsid w:val="00E17842"/>
    <w:rsid w:val="00E31E6E"/>
    <w:rsid w:val="00E326C4"/>
    <w:rsid w:val="00E35842"/>
    <w:rsid w:val="00E36864"/>
    <w:rsid w:val="00E36D11"/>
    <w:rsid w:val="00E40F51"/>
    <w:rsid w:val="00E41409"/>
    <w:rsid w:val="00E416F3"/>
    <w:rsid w:val="00E43766"/>
    <w:rsid w:val="00E45426"/>
    <w:rsid w:val="00E50345"/>
    <w:rsid w:val="00E5048D"/>
    <w:rsid w:val="00E514DA"/>
    <w:rsid w:val="00E60124"/>
    <w:rsid w:val="00E61E25"/>
    <w:rsid w:val="00E61F98"/>
    <w:rsid w:val="00E63B1F"/>
    <w:rsid w:val="00E64492"/>
    <w:rsid w:val="00E654FE"/>
    <w:rsid w:val="00E71FBC"/>
    <w:rsid w:val="00E74F34"/>
    <w:rsid w:val="00E759E6"/>
    <w:rsid w:val="00E80DF3"/>
    <w:rsid w:val="00E82A4E"/>
    <w:rsid w:val="00E82D1C"/>
    <w:rsid w:val="00E82D7D"/>
    <w:rsid w:val="00E83AE5"/>
    <w:rsid w:val="00E83EEF"/>
    <w:rsid w:val="00E85A47"/>
    <w:rsid w:val="00E91FDC"/>
    <w:rsid w:val="00E954C6"/>
    <w:rsid w:val="00E962FE"/>
    <w:rsid w:val="00EA16F8"/>
    <w:rsid w:val="00EA2602"/>
    <w:rsid w:val="00EA3FB2"/>
    <w:rsid w:val="00EA4C64"/>
    <w:rsid w:val="00EA5402"/>
    <w:rsid w:val="00EB00AF"/>
    <w:rsid w:val="00EB29B1"/>
    <w:rsid w:val="00EB3337"/>
    <w:rsid w:val="00EC06C1"/>
    <w:rsid w:val="00EC3809"/>
    <w:rsid w:val="00EC442F"/>
    <w:rsid w:val="00EC67D3"/>
    <w:rsid w:val="00EC6D4E"/>
    <w:rsid w:val="00ED0219"/>
    <w:rsid w:val="00ED6CCA"/>
    <w:rsid w:val="00EE46BF"/>
    <w:rsid w:val="00EE7090"/>
    <w:rsid w:val="00EE77D3"/>
    <w:rsid w:val="00EE7D63"/>
    <w:rsid w:val="00EE7DD2"/>
    <w:rsid w:val="00EF1C46"/>
    <w:rsid w:val="00EF615C"/>
    <w:rsid w:val="00F02040"/>
    <w:rsid w:val="00F123CC"/>
    <w:rsid w:val="00F21C4D"/>
    <w:rsid w:val="00F224C0"/>
    <w:rsid w:val="00F235B7"/>
    <w:rsid w:val="00F244C1"/>
    <w:rsid w:val="00F306E1"/>
    <w:rsid w:val="00F33F59"/>
    <w:rsid w:val="00F3475B"/>
    <w:rsid w:val="00F40107"/>
    <w:rsid w:val="00F41A74"/>
    <w:rsid w:val="00F44779"/>
    <w:rsid w:val="00F4563E"/>
    <w:rsid w:val="00F47C6F"/>
    <w:rsid w:val="00F523D7"/>
    <w:rsid w:val="00F52764"/>
    <w:rsid w:val="00F54275"/>
    <w:rsid w:val="00F605C3"/>
    <w:rsid w:val="00F61C1F"/>
    <w:rsid w:val="00F621F8"/>
    <w:rsid w:val="00F6365E"/>
    <w:rsid w:val="00F72485"/>
    <w:rsid w:val="00F7395F"/>
    <w:rsid w:val="00F757FA"/>
    <w:rsid w:val="00F7616B"/>
    <w:rsid w:val="00F827BE"/>
    <w:rsid w:val="00F84900"/>
    <w:rsid w:val="00F95AA2"/>
    <w:rsid w:val="00FA0366"/>
    <w:rsid w:val="00FA230E"/>
    <w:rsid w:val="00FA3155"/>
    <w:rsid w:val="00FA4444"/>
    <w:rsid w:val="00FA5395"/>
    <w:rsid w:val="00FA7D0C"/>
    <w:rsid w:val="00FB022D"/>
    <w:rsid w:val="00FB0E45"/>
    <w:rsid w:val="00FB1267"/>
    <w:rsid w:val="00FB2914"/>
    <w:rsid w:val="00FB4711"/>
    <w:rsid w:val="00FB5FB9"/>
    <w:rsid w:val="00FC0DAD"/>
    <w:rsid w:val="00FC210D"/>
    <w:rsid w:val="00FC367E"/>
    <w:rsid w:val="00FC36B4"/>
    <w:rsid w:val="00FC3FE6"/>
    <w:rsid w:val="00FC6EB0"/>
    <w:rsid w:val="00FD32E1"/>
    <w:rsid w:val="00FD5055"/>
    <w:rsid w:val="00FD57E0"/>
    <w:rsid w:val="00FD7821"/>
    <w:rsid w:val="00FD7C18"/>
    <w:rsid w:val="00FD7E0F"/>
    <w:rsid w:val="00FE0CA8"/>
    <w:rsid w:val="00FE5B18"/>
    <w:rsid w:val="00FE6890"/>
    <w:rsid w:val="00FE6A94"/>
    <w:rsid w:val="00FF2928"/>
    <w:rsid w:val="00FF2B59"/>
    <w:rsid w:val="01B8489F"/>
    <w:rsid w:val="02FA74CA"/>
    <w:rsid w:val="036208AE"/>
    <w:rsid w:val="040B21A6"/>
    <w:rsid w:val="05847419"/>
    <w:rsid w:val="05A85CF7"/>
    <w:rsid w:val="061B11E8"/>
    <w:rsid w:val="062E0282"/>
    <w:rsid w:val="06A425C0"/>
    <w:rsid w:val="07320BF4"/>
    <w:rsid w:val="07430036"/>
    <w:rsid w:val="08D0632A"/>
    <w:rsid w:val="0A4F7914"/>
    <w:rsid w:val="0AD665CC"/>
    <w:rsid w:val="0BC47A9F"/>
    <w:rsid w:val="0CF000AF"/>
    <w:rsid w:val="0DCF48D6"/>
    <w:rsid w:val="0E2C4C36"/>
    <w:rsid w:val="0EE75788"/>
    <w:rsid w:val="0F6A03CA"/>
    <w:rsid w:val="0F90584B"/>
    <w:rsid w:val="10511251"/>
    <w:rsid w:val="11B07CBF"/>
    <w:rsid w:val="12023DEC"/>
    <w:rsid w:val="12DA6D96"/>
    <w:rsid w:val="133F59BF"/>
    <w:rsid w:val="13742917"/>
    <w:rsid w:val="14152DC7"/>
    <w:rsid w:val="14E62FF2"/>
    <w:rsid w:val="15676D38"/>
    <w:rsid w:val="159F6F24"/>
    <w:rsid w:val="168E3D07"/>
    <w:rsid w:val="16B53F23"/>
    <w:rsid w:val="16FC7CD4"/>
    <w:rsid w:val="173C4B17"/>
    <w:rsid w:val="179130B8"/>
    <w:rsid w:val="18D2069D"/>
    <w:rsid w:val="19F44590"/>
    <w:rsid w:val="1ACB5C44"/>
    <w:rsid w:val="1DC62E7C"/>
    <w:rsid w:val="1EAD37EC"/>
    <w:rsid w:val="1EBE30B3"/>
    <w:rsid w:val="1F33215A"/>
    <w:rsid w:val="1F7A1A3C"/>
    <w:rsid w:val="1FC22D7F"/>
    <w:rsid w:val="1FD65780"/>
    <w:rsid w:val="21AF01FD"/>
    <w:rsid w:val="21B62782"/>
    <w:rsid w:val="21D57E8F"/>
    <w:rsid w:val="241460FD"/>
    <w:rsid w:val="24167245"/>
    <w:rsid w:val="27154F96"/>
    <w:rsid w:val="27A5280B"/>
    <w:rsid w:val="28566DAD"/>
    <w:rsid w:val="28791E98"/>
    <w:rsid w:val="2931271C"/>
    <w:rsid w:val="29740191"/>
    <w:rsid w:val="2B5D5D70"/>
    <w:rsid w:val="2BEE03AD"/>
    <w:rsid w:val="2C1F2245"/>
    <w:rsid w:val="2D941150"/>
    <w:rsid w:val="2DB17332"/>
    <w:rsid w:val="2DEE2B23"/>
    <w:rsid w:val="30BE1F06"/>
    <w:rsid w:val="30F878AC"/>
    <w:rsid w:val="31195D77"/>
    <w:rsid w:val="31344D88"/>
    <w:rsid w:val="31644BD5"/>
    <w:rsid w:val="31B15C0F"/>
    <w:rsid w:val="31D10829"/>
    <w:rsid w:val="32226986"/>
    <w:rsid w:val="32E84C30"/>
    <w:rsid w:val="33DE683A"/>
    <w:rsid w:val="35AC5FA2"/>
    <w:rsid w:val="376D7696"/>
    <w:rsid w:val="37E94611"/>
    <w:rsid w:val="380D3361"/>
    <w:rsid w:val="38271BB0"/>
    <w:rsid w:val="3A59760D"/>
    <w:rsid w:val="3A7E0E22"/>
    <w:rsid w:val="3B387410"/>
    <w:rsid w:val="3B95138F"/>
    <w:rsid w:val="3C415549"/>
    <w:rsid w:val="3C5342E0"/>
    <w:rsid w:val="3C844F8D"/>
    <w:rsid w:val="3D726734"/>
    <w:rsid w:val="3E3D122D"/>
    <w:rsid w:val="3F3101B5"/>
    <w:rsid w:val="412513C5"/>
    <w:rsid w:val="41C236B6"/>
    <w:rsid w:val="43583BF8"/>
    <w:rsid w:val="44A771C7"/>
    <w:rsid w:val="468B42A3"/>
    <w:rsid w:val="46BB60F9"/>
    <w:rsid w:val="4803601A"/>
    <w:rsid w:val="48B60805"/>
    <w:rsid w:val="48FE7F8C"/>
    <w:rsid w:val="49D444B7"/>
    <w:rsid w:val="4A820975"/>
    <w:rsid w:val="4B1C0C07"/>
    <w:rsid w:val="4B6C1994"/>
    <w:rsid w:val="4B6D116B"/>
    <w:rsid w:val="4BC02A1C"/>
    <w:rsid w:val="4CEE62DB"/>
    <w:rsid w:val="4E7E63A7"/>
    <w:rsid w:val="4F065D51"/>
    <w:rsid w:val="502F4415"/>
    <w:rsid w:val="506F7733"/>
    <w:rsid w:val="508A5649"/>
    <w:rsid w:val="514705FA"/>
    <w:rsid w:val="51494C0C"/>
    <w:rsid w:val="51C508CE"/>
    <w:rsid w:val="520E0886"/>
    <w:rsid w:val="5317076D"/>
    <w:rsid w:val="53204182"/>
    <w:rsid w:val="53CF4B9C"/>
    <w:rsid w:val="55434CEA"/>
    <w:rsid w:val="55664241"/>
    <w:rsid w:val="58527707"/>
    <w:rsid w:val="58604752"/>
    <w:rsid w:val="58636A07"/>
    <w:rsid w:val="5BA342DA"/>
    <w:rsid w:val="5C412946"/>
    <w:rsid w:val="5CAD6BEE"/>
    <w:rsid w:val="5D7D55F2"/>
    <w:rsid w:val="5DC51478"/>
    <w:rsid w:val="5EB24F70"/>
    <w:rsid w:val="5FBD4636"/>
    <w:rsid w:val="605E4DBC"/>
    <w:rsid w:val="60BE4E23"/>
    <w:rsid w:val="61293E54"/>
    <w:rsid w:val="63B636A5"/>
    <w:rsid w:val="656C4713"/>
    <w:rsid w:val="662D2D97"/>
    <w:rsid w:val="66920EF5"/>
    <w:rsid w:val="669E1F11"/>
    <w:rsid w:val="697F5FDF"/>
    <w:rsid w:val="69C007BC"/>
    <w:rsid w:val="6B740F38"/>
    <w:rsid w:val="6B96484F"/>
    <w:rsid w:val="6BBB4773"/>
    <w:rsid w:val="6BBC1DF9"/>
    <w:rsid w:val="6BC24F3C"/>
    <w:rsid w:val="6C105FD7"/>
    <w:rsid w:val="6D756D99"/>
    <w:rsid w:val="6E723A13"/>
    <w:rsid w:val="6E9E3603"/>
    <w:rsid w:val="6EE37A6B"/>
    <w:rsid w:val="6F6D49E6"/>
    <w:rsid w:val="6FF21C36"/>
    <w:rsid w:val="71E62EF6"/>
    <w:rsid w:val="73734595"/>
    <w:rsid w:val="739B4E05"/>
    <w:rsid w:val="74BA1D67"/>
    <w:rsid w:val="74D93731"/>
    <w:rsid w:val="76FF00EF"/>
    <w:rsid w:val="774B41D8"/>
    <w:rsid w:val="777E52B5"/>
    <w:rsid w:val="77DF1812"/>
    <w:rsid w:val="782908FD"/>
    <w:rsid w:val="79405B92"/>
    <w:rsid w:val="7B0C7F95"/>
    <w:rsid w:val="7BE612D4"/>
    <w:rsid w:val="7C153E5E"/>
    <w:rsid w:val="7D7669F3"/>
    <w:rsid w:val="7EBA4FFF"/>
    <w:rsid w:val="7F8020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9" w:semiHidden="0" w:name="heading 6"/>
    <w:lsdException w:qFormat="1" w:uiPriority="0" w:semiHidden="0" w:name="heading 7"/>
    <w:lsdException w:qFormat="1" w:uiPriority="0" w:semiHidden="0" w:name="heading 8"/>
    <w:lsdException w:qFormat="1"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iPriority="99" w:semiHidden="0"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nhideWhenUsed="0" w:uiPriority="0" w:semiHidden="0" w:name="List Bullet 2"/>
    <w:lsdException w:uiPriority="99" w:name="List Bullet 3"/>
    <w:lsdException w:uiPriority="99" w:name="List Bullet 4"/>
    <w:lsdException w:uiPriority="99" w:name="List Bullet 5"/>
    <w:lsdException w:qFormat="1" w:unhideWhenUsed="0" w:uiPriority="0" w:semiHidden="0"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0" w:semiHidden="0" w:name="Strong"/>
    <w:lsdException w:unhideWhenUsed="0" w:uiPriority="20" w:semiHidden="0" w:name="Emphasis"/>
    <w:lsdException w:qFormat="1" w:unhideWhenUsed="0" w:uiPriority="0" w:name="Document Map"/>
    <w:lsdException w:qFormat="1"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qFormat="1"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qFormat="1" w:uiPriority="68" w:name="Medium Grid 2 Accent 1"/>
    <w:lsdException w:qFormat="1" w:uiPriority="69"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宋体" w:cs="Times New Roman"/>
      <w:kern w:val="2"/>
      <w:sz w:val="24"/>
      <w:szCs w:val="22"/>
      <w:lang w:val="en-US" w:eastAsia="zh-CN" w:bidi="ar-SA"/>
    </w:rPr>
  </w:style>
  <w:style w:type="paragraph" w:styleId="2">
    <w:name w:val="heading 1"/>
    <w:basedOn w:val="1"/>
    <w:next w:val="3"/>
    <w:link w:val="53"/>
    <w:qFormat/>
    <w:uiPriority w:val="9"/>
    <w:pPr>
      <w:keepNext/>
      <w:keepLines/>
      <w:pageBreakBefore/>
      <w:numPr>
        <w:ilvl w:val="0"/>
        <w:numId w:val="1"/>
      </w:numPr>
      <w:spacing w:before="163" w:beforeLines="50" w:after="163" w:afterLines="50"/>
      <w:jc w:val="center"/>
      <w:outlineLvl w:val="0"/>
    </w:pPr>
    <w:rPr>
      <w:rFonts w:asciiTheme="minorEastAsia" w:hAnsiTheme="minorEastAsia" w:eastAsiaTheme="minorEastAsia"/>
      <w:b/>
      <w:bCs/>
      <w:kern w:val="44"/>
      <w:sz w:val="36"/>
      <w:szCs w:val="44"/>
    </w:rPr>
  </w:style>
  <w:style w:type="paragraph" w:styleId="4">
    <w:name w:val="heading 2"/>
    <w:basedOn w:val="1"/>
    <w:next w:val="3"/>
    <w:link w:val="54"/>
    <w:unhideWhenUsed/>
    <w:qFormat/>
    <w:uiPriority w:val="0"/>
    <w:pPr>
      <w:keepNext/>
      <w:keepLines/>
      <w:numPr>
        <w:ilvl w:val="1"/>
        <w:numId w:val="1"/>
      </w:numPr>
      <w:tabs>
        <w:tab w:val="left" w:pos="600"/>
      </w:tabs>
      <w:spacing w:before="120" w:after="120" w:line="415" w:lineRule="auto"/>
      <w:jc w:val="left"/>
      <w:outlineLvl w:val="1"/>
    </w:pPr>
    <w:rPr>
      <w:rFonts w:ascii="黑体" w:hAnsi="黑体" w:eastAsia="黑体"/>
      <w:b/>
      <w:bCs/>
      <w:sz w:val="32"/>
      <w:szCs w:val="32"/>
    </w:rPr>
  </w:style>
  <w:style w:type="paragraph" w:styleId="5">
    <w:name w:val="heading 3"/>
    <w:basedOn w:val="1"/>
    <w:next w:val="3"/>
    <w:link w:val="55"/>
    <w:unhideWhenUsed/>
    <w:qFormat/>
    <w:uiPriority w:val="0"/>
    <w:pPr>
      <w:keepNext/>
      <w:keepLines/>
      <w:numPr>
        <w:ilvl w:val="2"/>
        <w:numId w:val="1"/>
      </w:numPr>
      <w:spacing w:before="120" w:after="120"/>
      <w:jc w:val="left"/>
      <w:outlineLvl w:val="2"/>
    </w:pPr>
    <w:rPr>
      <w:rFonts w:ascii="黑体" w:hAnsi="黑体" w:eastAsia="黑体"/>
      <w:b/>
      <w:bCs/>
      <w:sz w:val="32"/>
      <w:szCs w:val="32"/>
    </w:rPr>
  </w:style>
  <w:style w:type="paragraph" w:styleId="6">
    <w:name w:val="heading 4"/>
    <w:basedOn w:val="1"/>
    <w:next w:val="3"/>
    <w:link w:val="56"/>
    <w:unhideWhenUsed/>
    <w:qFormat/>
    <w:uiPriority w:val="0"/>
    <w:pPr>
      <w:keepNext/>
      <w:keepLines/>
      <w:numPr>
        <w:ilvl w:val="3"/>
        <w:numId w:val="1"/>
      </w:numPr>
      <w:tabs>
        <w:tab w:val="left" w:pos="60"/>
      </w:tabs>
      <w:spacing w:before="120" w:after="120"/>
      <w:jc w:val="left"/>
      <w:outlineLvl w:val="3"/>
    </w:pPr>
    <w:rPr>
      <w:rFonts w:ascii="黑体" w:hAnsi="黑体" w:eastAsia="黑体"/>
      <w:b/>
      <w:bCs/>
      <w:sz w:val="30"/>
      <w:szCs w:val="28"/>
    </w:rPr>
  </w:style>
  <w:style w:type="paragraph" w:styleId="7">
    <w:name w:val="heading 5"/>
    <w:basedOn w:val="1"/>
    <w:next w:val="3"/>
    <w:link w:val="57"/>
    <w:unhideWhenUsed/>
    <w:qFormat/>
    <w:uiPriority w:val="0"/>
    <w:pPr>
      <w:keepNext/>
      <w:keepLines/>
      <w:numPr>
        <w:ilvl w:val="4"/>
        <w:numId w:val="1"/>
      </w:numPr>
      <w:jc w:val="left"/>
      <w:outlineLvl w:val="4"/>
    </w:pPr>
    <w:rPr>
      <w:rFonts w:ascii="黑体" w:hAnsi="黑体" w:eastAsia="黑体"/>
      <w:b/>
      <w:bCs/>
      <w:sz w:val="28"/>
      <w:szCs w:val="28"/>
    </w:rPr>
  </w:style>
  <w:style w:type="paragraph" w:styleId="8">
    <w:name w:val="heading 6"/>
    <w:basedOn w:val="1"/>
    <w:next w:val="3"/>
    <w:link w:val="58"/>
    <w:unhideWhenUsed/>
    <w:qFormat/>
    <w:uiPriority w:val="9"/>
    <w:pPr>
      <w:keepNext/>
      <w:keepLines/>
      <w:numPr>
        <w:ilvl w:val="5"/>
        <w:numId w:val="1"/>
      </w:numPr>
      <w:spacing w:before="120" w:after="120"/>
      <w:jc w:val="left"/>
      <w:outlineLvl w:val="5"/>
    </w:pPr>
    <w:rPr>
      <w:rFonts w:ascii="黑体" w:hAnsi="黑体" w:eastAsia="黑体"/>
      <w:b/>
      <w:bCs/>
      <w:szCs w:val="24"/>
    </w:rPr>
  </w:style>
  <w:style w:type="paragraph" w:styleId="9">
    <w:name w:val="heading 7"/>
    <w:basedOn w:val="1"/>
    <w:next w:val="3"/>
    <w:link w:val="59"/>
    <w:unhideWhenUsed/>
    <w:qFormat/>
    <w:uiPriority w:val="0"/>
    <w:pPr>
      <w:keepNext/>
      <w:keepLines/>
      <w:numPr>
        <w:ilvl w:val="6"/>
        <w:numId w:val="1"/>
      </w:numPr>
      <w:spacing w:before="120" w:after="120"/>
      <w:jc w:val="left"/>
      <w:outlineLvl w:val="6"/>
    </w:pPr>
    <w:rPr>
      <w:rFonts w:ascii="黑体" w:hAnsi="黑体" w:eastAsia="黑体"/>
      <w:b/>
      <w:bCs/>
      <w:szCs w:val="24"/>
    </w:rPr>
  </w:style>
  <w:style w:type="paragraph" w:styleId="10">
    <w:name w:val="heading 8"/>
    <w:basedOn w:val="1"/>
    <w:next w:val="3"/>
    <w:link w:val="60"/>
    <w:unhideWhenUsed/>
    <w:qFormat/>
    <w:uiPriority w:val="0"/>
    <w:pPr>
      <w:keepNext/>
      <w:keepLines/>
      <w:numPr>
        <w:ilvl w:val="7"/>
        <w:numId w:val="1"/>
      </w:numPr>
      <w:spacing w:before="120" w:after="120"/>
      <w:jc w:val="left"/>
      <w:outlineLvl w:val="7"/>
    </w:pPr>
    <w:rPr>
      <w:rFonts w:ascii="黑体" w:hAnsi="黑体" w:eastAsia="黑体"/>
      <w:b/>
      <w:szCs w:val="24"/>
    </w:rPr>
  </w:style>
  <w:style w:type="paragraph" w:styleId="11">
    <w:name w:val="heading 9"/>
    <w:basedOn w:val="1"/>
    <w:next w:val="3"/>
    <w:link w:val="61"/>
    <w:unhideWhenUsed/>
    <w:qFormat/>
    <w:uiPriority w:val="0"/>
    <w:pPr>
      <w:keepNext/>
      <w:keepLines/>
      <w:numPr>
        <w:ilvl w:val="8"/>
        <w:numId w:val="1"/>
      </w:numPr>
      <w:spacing w:before="120" w:after="120"/>
      <w:outlineLvl w:val="8"/>
    </w:pPr>
    <w:rPr>
      <w:rFonts w:ascii="黑体" w:hAnsi="黑体" w:eastAsia="黑体"/>
      <w:b/>
      <w:szCs w:val="21"/>
    </w:rPr>
  </w:style>
  <w:style w:type="character" w:default="1" w:styleId="47">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customStyle="1" w:styleId="3">
    <w:name w:val="标准正文"/>
    <w:basedOn w:val="1"/>
    <w:link w:val="64"/>
    <w:qFormat/>
    <w:uiPriority w:val="0"/>
    <w:pPr>
      <w:ind w:firstLine="480" w:firstLineChars="200"/>
    </w:pPr>
    <w:rPr>
      <w:rFonts w:ascii="宋体" w:hAnsi="宋体"/>
      <w:szCs w:val="20"/>
    </w:rPr>
  </w:style>
  <w:style w:type="paragraph" w:styleId="12">
    <w:name w:val="toc 7"/>
    <w:basedOn w:val="1"/>
    <w:next w:val="1"/>
    <w:unhideWhenUsed/>
    <w:qFormat/>
    <w:uiPriority w:val="39"/>
    <w:pPr>
      <w:ind w:left="1440"/>
      <w:jc w:val="left"/>
    </w:pPr>
    <w:rPr>
      <w:sz w:val="18"/>
      <w:szCs w:val="18"/>
    </w:rPr>
  </w:style>
  <w:style w:type="paragraph" w:styleId="13">
    <w:name w:val="List Number 2"/>
    <w:basedOn w:val="1"/>
    <w:qFormat/>
    <w:uiPriority w:val="0"/>
    <w:pPr>
      <w:tabs>
        <w:tab w:val="left" w:pos="780"/>
      </w:tabs>
      <w:spacing w:line="240" w:lineRule="auto"/>
      <w:ind w:left="420" w:firstLine="200" w:firstLineChars="200"/>
    </w:pPr>
    <w:rPr>
      <w:rFonts w:ascii="Times New Roman" w:hAnsi="Times New Roman"/>
      <w:sz w:val="21"/>
      <w:szCs w:val="24"/>
    </w:rPr>
  </w:style>
  <w:style w:type="paragraph" w:styleId="14">
    <w:name w:val="Normal Indent"/>
    <w:basedOn w:val="1"/>
    <w:link w:val="190"/>
    <w:unhideWhenUsed/>
    <w:qFormat/>
    <w:uiPriority w:val="99"/>
    <w:pPr>
      <w:ind w:firstLine="420" w:firstLineChars="200"/>
    </w:pPr>
  </w:style>
  <w:style w:type="paragraph" w:styleId="15">
    <w:name w:val="caption"/>
    <w:basedOn w:val="1"/>
    <w:next w:val="1"/>
    <w:link w:val="68"/>
    <w:qFormat/>
    <w:uiPriority w:val="0"/>
    <w:pPr>
      <w:spacing w:line="240" w:lineRule="auto"/>
    </w:pPr>
    <w:rPr>
      <w:rFonts w:ascii="Arial" w:hAnsi="Arial" w:eastAsia="黑体" w:cs="Arial"/>
      <w:sz w:val="20"/>
      <w:szCs w:val="20"/>
    </w:rPr>
  </w:style>
  <w:style w:type="paragraph" w:styleId="16">
    <w:name w:val="Document Map"/>
    <w:basedOn w:val="1"/>
    <w:link w:val="76"/>
    <w:semiHidden/>
    <w:qFormat/>
    <w:uiPriority w:val="0"/>
    <w:pPr>
      <w:shd w:val="clear" w:color="auto" w:fill="000080"/>
    </w:pPr>
    <w:rPr>
      <w:rFonts w:ascii="宋体" w:hAnsi="宋体"/>
      <w:szCs w:val="21"/>
    </w:rPr>
  </w:style>
  <w:style w:type="paragraph" w:styleId="17">
    <w:name w:val="toa heading"/>
    <w:basedOn w:val="1"/>
    <w:next w:val="1"/>
    <w:qFormat/>
    <w:uiPriority w:val="0"/>
    <w:pPr>
      <w:numPr>
        <w:ilvl w:val="0"/>
        <w:numId w:val="2"/>
      </w:numPr>
      <w:spacing w:before="120" w:line="240" w:lineRule="auto"/>
      <w:ind w:left="0" w:firstLine="0"/>
    </w:pPr>
    <w:rPr>
      <w:rFonts w:ascii="Arial" w:hAnsi="Arial"/>
      <w:szCs w:val="20"/>
    </w:rPr>
  </w:style>
  <w:style w:type="paragraph" w:styleId="18">
    <w:name w:val="annotation text"/>
    <w:basedOn w:val="1"/>
    <w:link w:val="82"/>
    <w:unhideWhenUsed/>
    <w:qFormat/>
    <w:uiPriority w:val="0"/>
    <w:pPr>
      <w:jc w:val="left"/>
    </w:pPr>
    <w:rPr>
      <w:rFonts w:ascii="Times New Roman" w:hAnsi="Times New Roman"/>
      <w:szCs w:val="24"/>
    </w:rPr>
  </w:style>
  <w:style w:type="paragraph" w:styleId="19">
    <w:name w:val="Body Text"/>
    <w:basedOn w:val="1"/>
    <w:link w:val="87"/>
    <w:unhideWhenUsed/>
    <w:qFormat/>
    <w:uiPriority w:val="0"/>
    <w:pPr>
      <w:spacing w:after="120"/>
    </w:pPr>
    <w:rPr>
      <w:rFonts w:ascii="宋体" w:hAnsi="宋体"/>
      <w:szCs w:val="24"/>
    </w:rPr>
  </w:style>
  <w:style w:type="paragraph" w:styleId="20">
    <w:name w:val="Body Text Indent"/>
    <w:basedOn w:val="1"/>
    <w:link w:val="67"/>
    <w:unhideWhenUsed/>
    <w:qFormat/>
    <w:uiPriority w:val="99"/>
    <w:pPr>
      <w:spacing w:after="120"/>
      <w:ind w:left="420" w:leftChars="200"/>
    </w:pPr>
  </w:style>
  <w:style w:type="paragraph" w:styleId="21">
    <w:name w:val="List Bullet 2"/>
    <w:basedOn w:val="1"/>
    <w:qFormat/>
    <w:uiPriority w:val="0"/>
    <w:pPr>
      <w:numPr>
        <w:ilvl w:val="0"/>
        <w:numId w:val="3"/>
      </w:numPr>
      <w:tabs>
        <w:tab w:val="left" w:pos="780"/>
      </w:tabs>
      <w:spacing w:line="240" w:lineRule="auto"/>
      <w:ind w:firstLine="200" w:firstLineChars="200"/>
    </w:pPr>
    <w:rPr>
      <w:rFonts w:ascii="Times New Roman" w:hAnsi="Times New Roman"/>
      <w:sz w:val="21"/>
      <w:szCs w:val="24"/>
    </w:rPr>
  </w:style>
  <w:style w:type="paragraph" w:styleId="22">
    <w:name w:val="toc 5"/>
    <w:basedOn w:val="1"/>
    <w:next w:val="1"/>
    <w:unhideWhenUsed/>
    <w:qFormat/>
    <w:uiPriority w:val="39"/>
    <w:pPr>
      <w:ind w:left="960"/>
      <w:jc w:val="left"/>
    </w:pPr>
    <w:rPr>
      <w:sz w:val="18"/>
      <w:szCs w:val="18"/>
    </w:rPr>
  </w:style>
  <w:style w:type="paragraph" w:styleId="23">
    <w:name w:val="toc 3"/>
    <w:basedOn w:val="1"/>
    <w:next w:val="1"/>
    <w:qFormat/>
    <w:uiPriority w:val="39"/>
    <w:pPr>
      <w:spacing w:line="300" w:lineRule="auto"/>
      <w:ind w:left="482"/>
      <w:jc w:val="left"/>
    </w:pPr>
    <w:rPr>
      <w:iCs/>
      <w:sz w:val="20"/>
      <w:szCs w:val="20"/>
    </w:rPr>
  </w:style>
  <w:style w:type="paragraph" w:styleId="24">
    <w:name w:val="Plain Text"/>
    <w:basedOn w:val="1"/>
    <w:link w:val="173"/>
    <w:semiHidden/>
    <w:unhideWhenUsed/>
    <w:qFormat/>
    <w:uiPriority w:val="99"/>
    <w:rPr>
      <w:rFonts w:hAnsi="Courier New" w:cs="Courier New" w:asciiTheme="minorEastAsia" w:eastAsiaTheme="minorEastAsia"/>
    </w:rPr>
  </w:style>
  <w:style w:type="paragraph" w:styleId="25">
    <w:name w:val="toc 8"/>
    <w:basedOn w:val="1"/>
    <w:next w:val="1"/>
    <w:unhideWhenUsed/>
    <w:qFormat/>
    <w:uiPriority w:val="39"/>
    <w:pPr>
      <w:ind w:left="1680"/>
      <w:jc w:val="left"/>
    </w:pPr>
    <w:rPr>
      <w:sz w:val="18"/>
      <w:szCs w:val="18"/>
    </w:rPr>
  </w:style>
  <w:style w:type="paragraph" w:styleId="26">
    <w:name w:val="Date"/>
    <w:basedOn w:val="1"/>
    <w:next w:val="1"/>
    <w:link w:val="179"/>
    <w:semiHidden/>
    <w:unhideWhenUsed/>
    <w:qFormat/>
    <w:uiPriority w:val="99"/>
    <w:pPr>
      <w:ind w:left="100" w:leftChars="2500"/>
    </w:pPr>
  </w:style>
  <w:style w:type="paragraph" w:styleId="27">
    <w:name w:val="Balloon Text"/>
    <w:basedOn w:val="1"/>
    <w:link w:val="81"/>
    <w:unhideWhenUsed/>
    <w:qFormat/>
    <w:uiPriority w:val="99"/>
    <w:rPr>
      <w:rFonts w:ascii="宋体" w:hAnsi="宋体"/>
      <w:sz w:val="18"/>
      <w:szCs w:val="18"/>
    </w:rPr>
  </w:style>
  <w:style w:type="paragraph" w:styleId="28">
    <w:name w:val="footer"/>
    <w:basedOn w:val="1"/>
    <w:link w:val="63"/>
    <w:unhideWhenUsed/>
    <w:qFormat/>
    <w:uiPriority w:val="99"/>
    <w:pPr>
      <w:tabs>
        <w:tab w:val="center" w:pos="4153"/>
        <w:tab w:val="right" w:pos="8306"/>
      </w:tabs>
      <w:snapToGrid w:val="0"/>
      <w:jc w:val="left"/>
    </w:pPr>
    <w:rPr>
      <w:sz w:val="18"/>
      <w:szCs w:val="18"/>
    </w:rPr>
  </w:style>
  <w:style w:type="paragraph" w:styleId="29">
    <w:name w:val="header"/>
    <w:basedOn w:val="1"/>
    <w:link w:val="62"/>
    <w:unhideWhenUsed/>
    <w:qFormat/>
    <w:uiPriority w:val="99"/>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pPr>
      <w:tabs>
        <w:tab w:val="left" w:pos="720"/>
        <w:tab w:val="right" w:leader="dot" w:pos="8834"/>
      </w:tabs>
      <w:jc w:val="left"/>
    </w:pPr>
    <w:rPr>
      <w:b/>
      <w:bCs/>
      <w:caps/>
      <w:sz w:val="20"/>
      <w:szCs w:val="20"/>
    </w:rPr>
  </w:style>
  <w:style w:type="paragraph" w:styleId="31">
    <w:name w:val="toc 4"/>
    <w:basedOn w:val="1"/>
    <w:next w:val="1"/>
    <w:unhideWhenUsed/>
    <w:qFormat/>
    <w:uiPriority w:val="39"/>
    <w:pPr>
      <w:ind w:left="720"/>
      <w:jc w:val="left"/>
    </w:pPr>
    <w:rPr>
      <w:sz w:val="18"/>
      <w:szCs w:val="18"/>
    </w:rPr>
  </w:style>
  <w:style w:type="paragraph" w:styleId="32">
    <w:name w:val="Subtitle"/>
    <w:basedOn w:val="1"/>
    <w:next w:val="1"/>
    <w:link w:val="302"/>
    <w:qFormat/>
    <w:uiPriority w:val="11"/>
    <w:pPr>
      <w:adjustRightInd w:val="0"/>
      <w:spacing w:before="240" w:after="60" w:line="312" w:lineRule="auto"/>
      <w:ind w:firstLine="200" w:firstLineChars="200"/>
      <w:jc w:val="center"/>
      <w:textAlignment w:val="baseline"/>
      <w:outlineLvl w:val="1"/>
    </w:pPr>
    <w:rPr>
      <w:rFonts w:ascii="Times New Roman" w:hAnsi="Times New Roman" w:eastAsia="楷体"/>
      <w:b/>
      <w:bCs/>
      <w:kern w:val="28"/>
      <w:sz w:val="32"/>
      <w:szCs w:val="32"/>
    </w:rPr>
  </w:style>
  <w:style w:type="paragraph" w:styleId="33">
    <w:name w:val="toc 6"/>
    <w:basedOn w:val="1"/>
    <w:next w:val="1"/>
    <w:unhideWhenUsed/>
    <w:qFormat/>
    <w:uiPriority w:val="39"/>
    <w:pPr>
      <w:ind w:left="1200"/>
      <w:jc w:val="left"/>
    </w:pPr>
    <w:rPr>
      <w:sz w:val="18"/>
      <w:szCs w:val="18"/>
    </w:rPr>
  </w:style>
  <w:style w:type="paragraph" w:styleId="34">
    <w:name w:val="toc 2"/>
    <w:basedOn w:val="1"/>
    <w:next w:val="1"/>
    <w:qFormat/>
    <w:uiPriority w:val="39"/>
    <w:pPr>
      <w:spacing w:line="300" w:lineRule="auto"/>
      <w:ind w:left="238"/>
      <w:jc w:val="left"/>
    </w:pPr>
    <w:rPr>
      <w:b/>
      <w:smallCaps/>
      <w:sz w:val="20"/>
      <w:szCs w:val="20"/>
    </w:rPr>
  </w:style>
  <w:style w:type="paragraph" w:styleId="35">
    <w:name w:val="toc 9"/>
    <w:basedOn w:val="1"/>
    <w:next w:val="1"/>
    <w:unhideWhenUsed/>
    <w:qFormat/>
    <w:uiPriority w:val="39"/>
    <w:pPr>
      <w:ind w:left="1920"/>
      <w:jc w:val="left"/>
    </w:pPr>
    <w:rPr>
      <w:sz w:val="18"/>
      <w:szCs w:val="18"/>
    </w:rPr>
  </w:style>
  <w:style w:type="paragraph" w:styleId="36">
    <w:name w:val="Normal (Web)"/>
    <w:basedOn w:val="1"/>
    <w:link w:val="284"/>
    <w:unhideWhenUsed/>
    <w:qFormat/>
    <w:uiPriority w:val="99"/>
    <w:pPr>
      <w:widowControl/>
      <w:spacing w:before="100" w:beforeAutospacing="1" w:after="100" w:afterAutospacing="1" w:line="240" w:lineRule="auto"/>
      <w:jc w:val="left"/>
    </w:pPr>
    <w:rPr>
      <w:rFonts w:ascii="宋体" w:hAnsi="宋体" w:cs="宋体"/>
      <w:kern w:val="0"/>
      <w:szCs w:val="24"/>
    </w:rPr>
  </w:style>
  <w:style w:type="paragraph" w:styleId="37">
    <w:name w:val="Title"/>
    <w:basedOn w:val="1"/>
    <w:next w:val="38"/>
    <w:link w:val="74"/>
    <w:qFormat/>
    <w:uiPriority w:val="0"/>
    <w:pPr>
      <w:jc w:val="center"/>
    </w:pPr>
    <w:rPr>
      <w:rFonts w:ascii="宋体" w:hAnsi="宋体" w:eastAsia="黑体" w:cs="Arial"/>
      <w:b/>
      <w:bCs/>
      <w:color w:val="000000" w:themeColor="text1"/>
      <w:sz w:val="84"/>
      <w:szCs w:val="32"/>
      <w14:textFill>
        <w14:solidFill>
          <w14:schemeClr w14:val="tx1"/>
        </w14:solidFill>
      </w14:textFill>
    </w:rPr>
  </w:style>
  <w:style w:type="paragraph" w:customStyle="1" w:styleId="38">
    <w:name w:val="常用正文"/>
    <w:basedOn w:val="1"/>
    <w:qFormat/>
    <w:uiPriority w:val="0"/>
    <w:pPr>
      <w:ind w:left="420" w:leftChars="200"/>
    </w:pPr>
    <w:rPr>
      <w:rFonts w:ascii="宋体" w:hAnsi="宋体"/>
      <w:szCs w:val="24"/>
    </w:rPr>
  </w:style>
  <w:style w:type="paragraph" w:styleId="39">
    <w:name w:val="annotation subject"/>
    <w:basedOn w:val="18"/>
    <w:next w:val="18"/>
    <w:link w:val="100"/>
    <w:unhideWhenUsed/>
    <w:qFormat/>
    <w:uiPriority w:val="0"/>
    <w:rPr>
      <w:rFonts w:ascii="Calibri" w:hAnsi="Calibri"/>
      <w:b/>
      <w:bCs/>
      <w:szCs w:val="22"/>
    </w:rPr>
  </w:style>
  <w:style w:type="paragraph" w:styleId="40">
    <w:name w:val="Body Text First Indent"/>
    <w:basedOn w:val="19"/>
    <w:link w:val="88"/>
    <w:qFormat/>
    <w:uiPriority w:val="0"/>
    <w:pPr>
      <w:ind w:firstLine="420" w:firstLineChars="100"/>
    </w:pPr>
  </w:style>
  <w:style w:type="paragraph" w:styleId="41">
    <w:name w:val="Body Text First Indent 2"/>
    <w:basedOn w:val="20"/>
    <w:link w:val="109"/>
    <w:unhideWhenUsed/>
    <w:qFormat/>
    <w:uiPriority w:val="99"/>
    <w:pPr>
      <w:ind w:firstLine="420" w:firstLineChars="200"/>
    </w:pPr>
  </w:style>
  <w:style w:type="table" w:styleId="43">
    <w:name w:val="Table Grid"/>
    <w:basedOn w:val="42"/>
    <w:qFormat/>
    <w:uiPriority w:val="39"/>
    <w:pPr>
      <w:widowControl w:val="0"/>
      <w:spacing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44">
    <w:name w:val="Table Theme"/>
    <w:basedOn w:val="42"/>
    <w:semiHidden/>
    <w:unhideWhenUsed/>
    <w:qFormat/>
    <w:uiPriority w:val="99"/>
    <w:pPr>
      <w:widowControl w:val="0"/>
      <w:spacing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45">
    <w:name w:val="Medium Grid 2 Accent 1"/>
    <w:basedOn w:val="42"/>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cPr>
      <w:shd w:val="clear" w:color="auto" w:fill="D6E6F4" w:themeFill="accent1" w:themeFillTint="3F"/>
    </w:tcPr>
    <w:tblStylePr w:type="firstRow">
      <w:rPr>
        <w:b/>
        <w:bCs/>
        <w:color w:val="000000" w:themeColor="text1"/>
        <w14:textFill>
          <w14:solidFill>
            <w14:schemeClr w14:val="tx1"/>
          </w14:solidFill>
        </w14:textFill>
      </w:rPr>
      <w:tblPr/>
      <w:tcPr>
        <w:shd w:val="clear" w:color="auto" w:fill="EEF5FA"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DEA" w:themeFill="accent1" w:themeFillTint="7F"/>
      </w:tcPr>
    </w:tblStylePr>
    <w:tblStylePr w:type="band1Horz">
      <w:tblPr/>
      <w:tcPr>
        <w:tcBorders>
          <w:insideH w:val="single" w:sz="6" w:space="0"/>
          <w:insideV w:val="single" w:sz="6" w:space="0"/>
        </w:tcBorders>
        <w:shd w:val="clear" w:color="auto" w:fill="ADCDEA" w:themeFill="accent1" w:themeFillTint="7F"/>
      </w:tcPr>
    </w:tblStylePr>
    <w:tblStylePr w:type="nwCell">
      <w:tblPr/>
      <w:tcPr>
        <w:shd w:val="clear" w:color="auto" w:fill="FFFFFF" w:themeFill="background1"/>
      </w:tcPr>
    </w:tblStylePr>
  </w:style>
  <w:style w:type="table" w:styleId="46">
    <w:name w:val="Medium Grid 3 Accent 1"/>
    <w:basedOn w:val="42"/>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6E6F4"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5B9BD5"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5B9BD5"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5B9BD5"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5B9BD5"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DEA"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DCDEA" w:themeFill="accent1" w:themeFillTint="7F"/>
      </w:tcPr>
    </w:tblStylePr>
  </w:style>
  <w:style w:type="character" w:styleId="48">
    <w:name w:val="Strong"/>
    <w:qFormat/>
    <w:uiPriority w:val="0"/>
    <w:rPr>
      <w:b/>
    </w:rPr>
  </w:style>
  <w:style w:type="character" w:styleId="49">
    <w:name w:val="page number"/>
    <w:qFormat/>
    <w:uiPriority w:val="99"/>
  </w:style>
  <w:style w:type="character" w:styleId="50">
    <w:name w:val="FollowedHyperlink"/>
    <w:basedOn w:val="47"/>
    <w:semiHidden/>
    <w:unhideWhenUsed/>
    <w:qFormat/>
    <w:uiPriority w:val="99"/>
    <w:rPr>
      <w:color w:val="954F72" w:themeColor="followedHyperlink"/>
      <w:u w:val="single"/>
      <w14:textFill>
        <w14:solidFill>
          <w14:schemeClr w14:val="folHlink"/>
        </w14:solidFill>
      </w14:textFill>
    </w:rPr>
  </w:style>
  <w:style w:type="character" w:styleId="51">
    <w:name w:val="Hyperlink"/>
    <w:qFormat/>
    <w:uiPriority w:val="99"/>
    <w:rPr>
      <w:color w:val="0000FF"/>
      <w:u w:val="single"/>
    </w:rPr>
  </w:style>
  <w:style w:type="character" w:styleId="52">
    <w:name w:val="annotation reference"/>
    <w:unhideWhenUsed/>
    <w:qFormat/>
    <w:uiPriority w:val="0"/>
    <w:rPr>
      <w:sz w:val="21"/>
      <w:szCs w:val="21"/>
    </w:rPr>
  </w:style>
  <w:style w:type="character" w:customStyle="1" w:styleId="53">
    <w:name w:val="标题 1 Char"/>
    <w:link w:val="2"/>
    <w:qFormat/>
    <w:uiPriority w:val="9"/>
    <w:rPr>
      <w:rFonts w:asciiTheme="minorEastAsia" w:hAnsiTheme="minorEastAsia" w:eastAsiaTheme="minorEastAsia"/>
      <w:b/>
      <w:bCs/>
      <w:kern w:val="44"/>
      <w:sz w:val="36"/>
      <w:szCs w:val="44"/>
    </w:rPr>
  </w:style>
  <w:style w:type="character" w:customStyle="1" w:styleId="54">
    <w:name w:val="标题 2 Char"/>
    <w:link w:val="4"/>
    <w:qFormat/>
    <w:uiPriority w:val="0"/>
    <w:rPr>
      <w:rFonts w:ascii="黑体" w:hAnsi="黑体" w:eastAsia="黑体"/>
      <w:b/>
      <w:bCs/>
      <w:kern w:val="2"/>
      <w:sz w:val="32"/>
      <w:szCs w:val="32"/>
    </w:rPr>
  </w:style>
  <w:style w:type="character" w:customStyle="1" w:styleId="55">
    <w:name w:val="标题 3 Char"/>
    <w:link w:val="5"/>
    <w:qFormat/>
    <w:uiPriority w:val="0"/>
    <w:rPr>
      <w:rFonts w:ascii="黑体" w:hAnsi="黑体" w:eastAsia="黑体"/>
      <w:b/>
      <w:bCs/>
      <w:kern w:val="2"/>
      <w:sz w:val="32"/>
      <w:szCs w:val="32"/>
    </w:rPr>
  </w:style>
  <w:style w:type="character" w:customStyle="1" w:styleId="56">
    <w:name w:val="标题 4 Char"/>
    <w:link w:val="6"/>
    <w:qFormat/>
    <w:uiPriority w:val="0"/>
    <w:rPr>
      <w:rFonts w:ascii="黑体" w:hAnsi="黑体" w:eastAsia="黑体"/>
      <w:b/>
      <w:bCs/>
      <w:kern w:val="2"/>
      <w:sz w:val="30"/>
      <w:szCs w:val="28"/>
    </w:rPr>
  </w:style>
  <w:style w:type="character" w:customStyle="1" w:styleId="57">
    <w:name w:val="标题 5 Char"/>
    <w:link w:val="7"/>
    <w:qFormat/>
    <w:uiPriority w:val="0"/>
    <w:rPr>
      <w:rFonts w:ascii="黑体" w:hAnsi="黑体" w:eastAsia="黑体"/>
      <w:b/>
      <w:bCs/>
      <w:kern w:val="2"/>
      <w:sz w:val="28"/>
      <w:szCs w:val="28"/>
    </w:rPr>
  </w:style>
  <w:style w:type="character" w:customStyle="1" w:styleId="58">
    <w:name w:val="标题 6 Char"/>
    <w:link w:val="8"/>
    <w:qFormat/>
    <w:uiPriority w:val="9"/>
    <w:rPr>
      <w:rFonts w:ascii="黑体" w:hAnsi="黑体" w:eastAsia="黑体"/>
      <w:b/>
      <w:bCs/>
      <w:kern w:val="2"/>
      <w:sz w:val="24"/>
      <w:szCs w:val="24"/>
    </w:rPr>
  </w:style>
  <w:style w:type="character" w:customStyle="1" w:styleId="59">
    <w:name w:val="标题 7 Char"/>
    <w:link w:val="9"/>
    <w:qFormat/>
    <w:uiPriority w:val="0"/>
    <w:rPr>
      <w:rFonts w:ascii="黑体" w:hAnsi="黑体" w:eastAsia="黑体"/>
      <w:b/>
      <w:bCs/>
      <w:kern w:val="2"/>
      <w:sz w:val="24"/>
      <w:szCs w:val="24"/>
    </w:rPr>
  </w:style>
  <w:style w:type="character" w:customStyle="1" w:styleId="60">
    <w:name w:val="标题 8 Char"/>
    <w:link w:val="10"/>
    <w:qFormat/>
    <w:uiPriority w:val="0"/>
    <w:rPr>
      <w:rFonts w:ascii="黑体" w:hAnsi="黑体" w:eastAsia="黑体"/>
      <w:b/>
      <w:kern w:val="2"/>
      <w:sz w:val="24"/>
      <w:szCs w:val="24"/>
    </w:rPr>
  </w:style>
  <w:style w:type="character" w:customStyle="1" w:styleId="61">
    <w:name w:val="标题 9 Char"/>
    <w:link w:val="11"/>
    <w:qFormat/>
    <w:uiPriority w:val="0"/>
    <w:rPr>
      <w:rFonts w:ascii="黑体" w:hAnsi="黑体" w:eastAsia="黑体"/>
      <w:b/>
      <w:kern w:val="2"/>
      <w:sz w:val="24"/>
      <w:szCs w:val="21"/>
    </w:rPr>
  </w:style>
  <w:style w:type="character" w:customStyle="1" w:styleId="62">
    <w:name w:val="页眉 Char"/>
    <w:link w:val="29"/>
    <w:qFormat/>
    <w:uiPriority w:val="99"/>
    <w:rPr>
      <w:kern w:val="2"/>
      <w:sz w:val="18"/>
      <w:szCs w:val="18"/>
    </w:rPr>
  </w:style>
  <w:style w:type="character" w:customStyle="1" w:styleId="63">
    <w:name w:val="页脚 Char"/>
    <w:link w:val="28"/>
    <w:qFormat/>
    <w:uiPriority w:val="99"/>
    <w:rPr>
      <w:kern w:val="2"/>
      <w:sz w:val="18"/>
      <w:szCs w:val="18"/>
    </w:rPr>
  </w:style>
  <w:style w:type="character" w:customStyle="1" w:styleId="64">
    <w:name w:val="标准正文 字符"/>
    <w:link w:val="3"/>
    <w:qFormat/>
    <w:uiPriority w:val="0"/>
    <w:rPr>
      <w:rFonts w:ascii="宋体" w:hAnsi="宋体"/>
      <w:kern w:val="2"/>
      <w:sz w:val="24"/>
    </w:rPr>
  </w:style>
  <w:style w:type="paragraph" w:customStyle="1" w:styleId="65">
    <w:name w:val="样式 正文文本缩进 + 左  0 字符"/>
    <w:basedOn w:val="20"/>
    <w:link w:val="66"/>
    <w:qFormat/>
    <w:uiPriority w:val="0"/>
    <w:pPr>
      <w:spacing w:after="0"/>
      <w:ind w:left="0" w:leftChars="0" w:firstLine="250" w:firstLineChars="250"/>
    </w:pPr>
    <w:rPr>
      <w:rFonts w:ascii="Times New Roman" w:hAnsi="Times New Roman"/>
      <w:szCs w:val="20"/>
    </w:rPr>
  </w:style>
  <w:style w:type="character" w:customStyle="1" w:styleId="66">
    <w:name w:val="样式 正文文本缩进 + 左  0 字符 Char"/>
    <w:link w:val="65"/>
    <w:qFormat/>
    <w:uiPriority w:val="0"/>
    <w:rPr>
      <w:rFonts w:ascii="Times New Roman" w:hAnsi="Times New Roman"/>
      <w:kern w:val="2"/>
      <w:sz w:val="24"/>
    </w:rPr>
  </w:style>
  <w:style w:type="character" w:customStyle="1" w:styleId="67">
    <w:name w:val="正文文本缩进 Char"/>
    <w:link w:val="20"/>
    <w:semiHidden/>
    <w:qFormat/>
    <w:uiPriority w:val="99"/>
    <w:rPr>
      <w:kern w:val="2"/>
      <w:sz w:val="24"/>
      <w:szCs w:val="22"/>
    </w:rPr>
  </w:style>
  <w:style w:type="character" w:customStyle="1" w:styleId="68">
    <w:name w:val="题注 Char"/>
    <w:link w:val="15"/>
    <w:qFormat/>
    <w:uiPriority w:val="0"/>
    <w:rPr>
      <w:rFonts w:ascii="Arial" w:hAnsi="Arial" w:eastAsia="黑体" w:cs="Arial"/>
      <w:kern w:val="2"/>
    </w:rPr>
  </w:style>
  <w:style w:type="paragraph" w:customStyle="1" w:styleId="69">
    <w:name w:val="Default"/>
    <w:qFormat/>
    <w:uiPriority w:val="0"/>
    <w:pPr>
      <w:widowControl w:val="0"/>
      <w:autoSpaceDE w:val="0"/>
      <w:autoSpaceDN w:val="0"/>
      <w:adjustRightInd w:val="0"/>
    </w:pPr>
    <w:rPr>
      <w:rFonts w:ascii=".." w:hAnsi="Times New Roman" w:eastAsia=".." w:cs=".."/>
      <w:color w:val="000000"/>
      <w:sz w:val="24"/>
      <w:szCs w:val="24"/>
      <w:lang w:val="en-US" w:eastAsia="zh-CN" w:bidi="ar-SA"/>
    </w:rPr>
  </w:style>
  <w:style w:type="paragraph" w:styleId="70">
    <w:name w:val="List Paragraph"/>
    <w:basedOn w:val="1"/>
    <w:link w:val="108"/>
    <w:qFormat/>
    <w:uiPriority w:val="34"/>
    <w:pPr>
      <w:ind w:firstLine="420" w:firstLineChars="200"/>
    </w:pPr>
    <w:rPr>
      <w:rFonts w:ascii="宋体" w:hAnsi="宋体"/>
      <w:szCs w:val="24"/>
    </w:rPr>
  </w:style>
  <w:style w:type="paragraph" w:customStyle="1" w:styleId="71">
    <w:name w:val="表注"/>
    <w:basedOn w:val="15"/>
    <w:link w:val="72"/>
    <w:qFormat/>
    <w:uiPriority w:val="0"/>
    <w:pPr>
      <w:keepNext/>
      <w:spacing w:before="50" w:beforeLines="50" w:line="360" w:lineRule="auto"/>
      <w:ind w:firstLine="403"/>
      <w:jc w:val="center"/>
    </w:pPr>
  </w:style>
  <w:style w:type="character" w:customStyle="1" w:styleId="72">
    <w:name w:val="表注 Char"/>
    <w:link w:val="71"/>
    <w:qFormat/>
    <w:uiPriority w:val="0"/>
    <w:rPr>
      <w:rFonts w:ascii="Arial" w:hAnsi="Arial" w:eastAsia="黑体" w:cs="Arial"/>
      <w:kern w:val="2"/>
    </w:rPr>
  </w:style>
  <w:style w:type="paragraph" w:customStyle="1" w:styleId="73">
    <w:name w:val="TOC 标题1"/>
    <w:basedOn w:val="2"/>
    <w:next w:val="1"/>
    <w:unhideWhenUsed/>
    <w:qFormat/>
    <w:uiPriority w:val="39"/>
    <w:pPr>
      <w:numPr>
        <w:numId w:val="0"/>
      </w:numPr>
      <w:spacing w:before="340" w:after="330"/>
      <w:outlineLvl w:val="9"/>
    </w:pPr>
  </w:style>
  <w:style w:type="character" w:customStyle="1" w:styleId="74">
    <w:name w:val="标题 Char"/>
    <w:link w:val="37"/>
    <w:qFormat/>
    <w:uiPriority w:val="0"/>
    <w:rPr>
      <w:rFonts w:ascii="宋体" w:hAnsi="宋体" w:eastAsia="黑体" w:cs="Arial"/>
      <w:b/>
      <w:bCs/>
      <w:color w:val="000000" w:themeColor="text1"/>
      <w:kern w:val="2"/>
      <w:sz w:val="84"/>
      <w:szCs w:val="32"/>
      <w14:textFill>
        <w14:solidFill>
          <w14:schemeClr w14:val="tx1"/>
        </w14:solidFill>
      </w14:textFill>
    </w:rPr>
  </w:style>
  <w:style w:type="paragraph" w:customStyle="1" w:styleId="75">
    <w:name w:val="常用标题"/>
    <w:basedOn w:val="7"/>
    <w:next w:val="38"/>
    <w:qFormat/>
    <w:uiPriority w:val="0"/>
    <w:pPr>
      <w:numPr>
        <w:ilvl w:val="0"/>
        <w:numId w:val="0"/>
      </w:numPr>
      <w:tabs>
        <w:tab w:val="left" w:pos="420"/>
      </w:tabs>
      <w:ind w:left="420" w:hanging="420"/>
      <w:outlineLvl w:val="3"/>
    </w:pPr>
    <w:rPr>
      <w:rFonts w:ascii="楷体_GB2312" w:hAnsi="宋体" w:eastAsia="楷体_GB2312"/>
      <w:sz w:val="24"/>
      <w:szCs w:val="24"/>
    </w:rPr>
  </w:style>
  <w:style w:type="character" w:customStyle="1" w:styleId="76">
    <w:name w:val="文档结构图 Char"/>
    <w:link w:val="16"/>
    <w:semiHidden/>
    <w:qFormat/>
    <w:uiPriority w:val="0"/>
    <w:rPr>
      <w:rFonts w:ascii="宋体" w:hAnsi="宋体"/>
      <w:kern w:val="2"/>
      <w:sz w:val="24"/>
      <w:szCs w:val="21"/>
      <w:shd w:val="clear" w:color="auto" w:fill="000080"/>
    </w:rPr>
  </w:style>
  <w:style w:type="paragraph" w:customStyle="1" w:styleId="77">
    <w:name w:val="表格"/>
    <w:link w:val="78"/>
    <w:qFormat/>
    <w:uiPriority w:val="0"/>
    <w:pPr>
      <w:spacing w:line="276" w:lineRule="auto"/>
    </w:pPr>
    <w:rPr>
      <w:rFonts w:ascii="Calibri" w:hAnsi="Calibri" w:eastAsia="宋体" w:cs="Times New Roman"/>
      <w:kern w:val="2"/>
      <w:sz w:val="21"/>
      <w:szCs w:val="21"/>
      <w:lang w:val="en-US" w:eastAsia="zh-CN" w:bidi="ar-SA"/>
    </w:rPr>
  </w:style>
  <w:style w:type="character" w:customStyle="1" w:styleId="78">
    <w:name w:val="表格 Char"/>
    <w:link w:val="77"/>
    <w:qFormat/>
    <w:uiPriority w:val="0"/>
    <w:rPr>
      <w:kern w:val="2"/>
      <w:sz w:val="21"/>
      <w:szCs w:val="21"/>
    </w:rPr>
  </w:style>
  <w:style w:type="paragraph" w:customStyle="1" w:styleId="79">
    <w:name w:val="表格标题"/>
    <w:basedOn w:val="1"/>
    <w:link w:val="80"/>
    <w:qFormat/>
    <w:uiPriority w:val="8"/>
    <w:pPr>
      <w:spacing w:line="312" w:lineRule="auto"/>
      <w:ind w:firstLine="200" w:firstLineChars="200"/>
      <w:jc w:val="center"/>
    </w:pPr>
    <w:rPr>
      <w:rFonts w:ascii="Arial" w:hAnsi="Arial"/>
      <w:b/>
      <w:kern w:val="21"/>
      <w:sz w:val="21"/>
      <w:szCs w:val="18"/>
      <w:lang w:val="zh-CN"/>
    </w:rPr>
  </w:style>
  <w:style w:type="character" w:customStyle="1" w:styleId="80">
    <w:name w:val="表格标题 Char"/>
    <w:link w:val="79"/>
    <w:qFormat/>
    <w:uiPriority w:val="8"/>
    <w:rPr>
      <w:rFonts w:ascii="Arial" w:hAnsi="Arial"/>
      <w:b/>
      <w:kern w:val="21"/>
      <w:sz w:val="21"/>
      <w:szCs w:val="18"/>
      <w:lang w:val="zh-CN" w:eastAsia="zh-CN"/>
    </w:rPr>
  </w:style>
  <w:style w:type="character" w:customStyle="1" w:styleId="81">
    <w:name w:val="批注框文本 Char"/>
    <w:link w:val="27"/>
    <w:semiHidden/>
    <w:qFormat/>
    <w:uiPriority w:val="99"/>
    <w:rPr>
      <w:rFonts w:ascii="宋体" w:hAnsi="宋体"/>
      <w:kern w:val="2"/>
      <w:sz w:val="18"/>
      <w:szCs w:val="18"/>
    </w:rPr>
  </w:style>
  <w:style w:type="character" w:customStyle="1" w:styleId="82">
    <w:name w:val="批注文字 Char"/>
    <w:link w:val="18"/>
    <w:qFormat/>
    <w:uiPriority w:val="0"/>
    <w:rPr>
      <w:rFonts w:ascii="Times New Roman" w:hAnsi="Times New Roman"/>
      <w:kern w:val="2"/>
      <w:sz w:val="24"/>
      <w:szCs w:val="24"/>
    </w:rPr>
  </w:style>
  <w:style w:type="paragraph" w:customStyle="1" w:styleId="83">
    <w:name w:val="图注"/>
    <w:basedOn w:val="1"/>
    <w:next w:val="1"/>
    <w:link w:val="84"/>
    <w:qFormat/>
    <w:uiPriority w:val="0"/>
    <w:pPr>
      <w:autoSpaceDE w:val="0"/>
      <w:autoSpaceDN w:val="0"/>
      <w:adjustRightInd w:val="0"/>
      <w:spacing w:after="163" w:afterLines="50"/>
      <w:jc w:val="center"/>
    </w:pPr>
    <w:rPr>
      <w:rFonts w:ascii="黑体" w:hAnsi="黑体" w:eastAsia="黑体"/>
      <w:kern w:val="0"/>
      <w:sz w:val="20"/>
      <w:szCs w:val="24"/>
    </w:rPr>
  </w:style>
  <w:style w:type="character" w:customStyle="1" w:styleId="84">
    <w:name w:val="图注 Char"/>
    <w:link w:val="83"/>
    <w:qFormat/>
    <w:uiPriority w:val="0"/>
    <w:rPr>
      <w:rFonts w:ascii="黑体" w:hAnsi="黑体" w:eastAsia="黑体"/>
      <w:szCs w:val="24"/>
    </w:rPr>
  </w:style>
  <w:style w:type="paragraph" w:customStyle="1" w:styleId="85">
    <w:name w:val="样式1"/>
    <w:basedOn w:val="15"/>
    <w:next w:val="71"/>
    <w:link w:val="86"/>
    <w:qFormat/>
    <w:uiPriority w:val="0"/>
    <w:pPr>
      <w:spacing w:before="156" w:line="360" w:lineRule="auto"/>
      <w:ind w:left="420"/>
      <w:jc w:val="center"/>
    </w:pPr>
    <w:rPr>
      <w:rFonts w:ascii="黑体" w:hAnsi="黑体" w:cs="Times New Roman"/>
    </w:rPr>
  </w:style>
  <w:style w:type="character" w:customStyle="1" w:styleId="86">
    <w:name w:val="样式1 Char"/>
    <w:link w:val="85"/>
    <w:qFormat/>
    <w:uiPriority w:val="0"/>
    <w:rPr>
      <w:rFonts w:ascii="黑体" w:hAnsi="黑体" w:eastAsia="黑体"/>
      <w:kern w:val="2"/>
    </w:rPr>
  </w:style>
  <w:style w:type="character" w:customStyle="1" w:styleId="87">
    <w:name w:val="正文文本 Char"/>
    <w:link w:val="19"/>
    <w:qFormat/>
    <w:uiPriority w:val="0"/>
    <w:rPr>
      <w:rFonts w:ascii="宋体" w:hAnsi="宋体"/>
      <w:kern w:val="2"/>
      <w:sz w:val="24"/>
      <w:szCs w:val="24"/>
    </w:rPr>
  </w:style>
  <w:style w:type="character" w:customStyle="1" w:styleId="88">
    <w:name w:val="正文首行缩进 Char"/>
    <w:basedOn w:val="87"/>
    <w:link w:val="40"/>
    <w:qFormat/>
    <w:uiPriority w:val="0"/>
    <w:rPr>
      <w:rFonts w:ascii="宋体" w:hAnsi="宋体"/>
      <w:kern w:val="2"/>
      <w:sz w:val="24"/>
      <w:szCs w:val="24"/>
    </w:rPr>
  </w:style>
  <w:style w:type="paragraph" w:customStyle="1" w:styleId="89">
    <w:name w:val="样式2"/>
    <w:basedOn w:val="8"/>
    <w:qFormat/>
    <w:uiPriority w:val="0"/>
    <w:pPr>
      <w:tabs>
        <w:tab w:val="left" w:pos="1152"/>
      </w:tabs>
      <w:spacing w:before="240" w:after="64" w:line="320" w:lineRule="auto"/>
    </w:pPr>
    <w:rPr>
      <w:rFonts w:ascii="Cambria" w:hAnsi="Cambria"/>
    </w:rPr>
  </w:style>
  <w:style w:type="paragraph" w:customStyle="1" w:styleId="90">
    <w:name w:val="样式3"/>
    <w:basedOn w:val="70"/>
    <w:next w:val="12"/>
    <w:qFormat/>
    <w:uiPriority w:val="0"/>
    <w:pPr>
      <w:numPr>
        <w:ilvl w:val="0"/>
        <w:numId w:val="4"/>
      </w:numPr>
      <w:ind w:firstLine="0" w:firstLineChars="0"/>
    </w:pPr>
  </w:style>
  <w:style w:type="character" w:customStyle="1" w:styleId="91">
    <w:name w:val="书籍标题1"/>
    <w:qFormat/>
    <w:uiPriority w:val="33"/>
    <w:rPr>
      <w:b/>
      <w:bCs/>
      <w:i/>
      <w:iCs/>
      <w:spacing w:val="5"/>
    </w:rPr>
  </w:style>
  <w:style w:type="paragraph" w:customStyle="1" w:styleId="92">
    <w:name w:val="图片"/>
    <w:basedOn w:val="1"/>
    <w:link w:val="93"/>
    <w:qFormat/>
    <w:uiPriority w:val="0"/>
    <w:pPr>
      <w:jc w:val="center"/>
    </w:pPr>
    <w:rPr>
      <w:rFonts w:ascii="宋体" w:hAnsi="宋体"/>
      <w:szCs w:val="24"/>
    </w:rPr>
  </w:style>
  <w:style w:type="character" w:customStyle="1" w:styleId="93">
    <w:name w:val="图片 Char"/>
    <w:link w:val="92"/>
    <w:qFormat/>
    <w:uiPriority w:val="0"/>
    <w:rPr>
      <w:rFonts w:ascii="宋体" w:hAnsi="宋体"/>
      <w:kern w:val="2"/>
      <w:sz w:val="24"/>
      <w:szCs w:val="24"/>
    </w:rPr>
  </w:style>
  <w:style w:type="paragraph" w:customStyle="1" w:styleId="94">
    <w:name w:val="封面标题"/>
    <w:basedOn w:val="1"/>
    <w:link w:val="95"/>
    <w:qFormat/>
    <w:uiPriority w:val="0"/>
    <w:pPr>
      <w:tabs>
        <w:tab w:val="left" w:pos="4645"/>
        <w:tab w:val="left" w:pos="6145"/>
      </w:tabs>
      <w:spacing w:line="240" w:lineRule="auto"/>
      <w:ind w:left="2137" w:right="2111"/>
      <w:jc w:val="center"/>
    </w:pPr>
    <w:rPr>
      <w:rFonts w:ascii="黑体" w:hAnsi="黑体" w:eastAsia="黑体" w:cs="Microsoft JhengHei"/>
      <w:b/>
      <w:bCs/>
      <w:sz w:val="84"/>
      <w:szCs w:val="84"/>
    </w:rPr>
  </w:style>
  <w:style w:type="character" w:customStyle="1" w:styleId="95">
    <w:name w:val="封面标题 字符"/>
    <w:basedOn w:val="47"/>
    <w:link w:val="94"/>
    <w:qFormat/>
    <w:uiPriority w:val="0"/>
    <w:rPr>
      <w:rFonts w:ascii="黑体" w:hAnsi="黑体" w:eastAsia="黑体" w:cs="Microsoft JhengHei"/>
      <w:b/>
      <w:bCs/>
      <w:kern w:val="2"/>
      <w:sz w:val="84"/>
      <w:szCs w:val="84"/>
    </w:rPr>
  </w:style>
  <w:style w:type="paragraph" w:customStyle="1" w:styleId="96">
    <w:name w:val="标准正文样式1"/>
    <w:basedOn w:val="40"/>
    <w:link w:val="97"/>
    <w:qFormat/>
    <w:uiPriority w:val="0"/>
    <w:pPr>
      <w:spacing w:after="0"/>
      <w:ind w:firstLine="200" w:firstLineChars="200"/>
      <w:jc w:val="left"/>
    </w:pPr>
    <w:rPr>
      <w:rFonts w:asciiTheme="minorEastAsia" w:hAnsiTheme="minorEastAsia"/>
    </w:rPr>
  </w:style>
  <w:style w:type="character" w:customStyle="1" w:styleId="97">
    <w:name w:val="标准正文样式1 字符"/>
    <w:basedOn w:val="47"/>
    <w:link w:val="96"/>
    <w:qFormat/>
    <w:uiPriority w:val="0"/>
    <w:rPr>
      <w:rFonts w:asciiTheme="minorEastAsia" w:hAnsiTheme="minorEastAsia"/>
      <w:kern w:val="2"/>
      <w:sz w:val="24"/>
      <w:szCs w:val="24"/>
    </w:rPr>
  </w:style>
  <w:style w:type="paragraph" w:customStyle="1" w:styleId="98">
    <w:name w:val="标准图注"/>
    <w:basedOn w:val="1"/>
    <w:next w:val="1"/>
    <w:link w:val="99"/>
    <w:qFormat/>
    <w:uiPriority w:val="0"/>
    <w:pPr>
      <w:autoSpaceDE w:val="0"/>
      <w:autoSpaceDN w:val="0"/>
      <w:adjustRightInd w:val="0"/>
      <w:spacing w:after="163" w:afterLines="50"/>
      <w:jc w:val="center"/>
    </w:pPr>
    <w:rPr>
      <w:rFonts w:ascii="黑体" w:hAnsi="黑体" w:eastAsia="黑体"/>
      <w:kern w:val="0"/>
      <w:sz w:val="20"/>
      <w:szCs w:val="24"/>
    </w:rPr>
  </w:style>
  <w:style w:type="character" w:customStyle="1" w:styleId="99">
    <w:name w:val="标准图注 字符"/>
    <w:basedOn w:val="47"/>
    <w:link w:val="98"/>
    <w:qFormat/>
    <w:uiPriority w:val="0"/>
    <w:rPr>
      <w:rFonts w:ascii="黑体" w:hAnsi="黑体" w:eastAsia="黑体"/>
      <w:szCs w:val="24"/>
    </w:rPr>
  </w:style>
  <w:style w:type="character" w:customStyle="1" w:styleId="100">
    <w:name w:val="批注主题 Char"/>
    <w:basedOn w:val="82"/>
    <w:link w:val="39"/>
    <w:semiHidden/>
    <w:qFormat/>
    <w:uiPriority w:val="0"/>
    <w:rPr>
      <w:rFonts w:ascii="Times New Roman" w:hAnsi="Times New Roman"/>
      <w:b/>
      <w:bCs/>
      <w:kern w:val="2"/>
      <w:sz w:val="24"/>
      <w:szCs w:val="22"/>
    </w:rPr>
  </w:style>
  <w:style w:type="character" w:customStyle="1" w:styleId="101">
    <w:name w:val="标准正文 Char"/>
    <w:qFormat/>
    <w:locked/>
    <w:uiPriority w:val="0"/>
    <w:rPr>
      <w:rFonts w:ascii="宋体" w:hAnsi="宋体" w:cs="宋体"/>
      <w:bCs/>
      <w:sz w:val="24"/>
      <w:szCs w:val="24"/>
    </w:rPr>
  </w:style>
  <w:style w:type="character" w:customStyle="1" w:styleId="102">
    <w:name w:val="招标正文 字符"/>
    <w:link w:val="103"/>
    <w:semiHidden/>
    <w:qFormat/>
    <w:locked/>
    <w:uiPriority w:val="0"/>
    <w:rPr>
      <w:rFonts w:ascii="宋体" w:hAnsi="宋体"/>
      <w:kern w:val="2"/>
      <w:sz w:val="24"/>
      <w:szCs w:val="24"/>
    </w:rPr>
  </w:style>
  <w:style w:type="paragraph" w:customStyle="1" w:styleId="103">
    <w:name w:val="招标正文"/>
    <w:basedOn w:val="40"/>
    <w:link w:val="102"/>
    <w:semiHidden/>
    <w:qFormat/>
    <w:uiPriority w:val="0"/>
    <w:pPr>
      <w:spacing w:after="0"/>
      <w:ind w:firstLine="200" w:firstLineChars="200"/>
    </w:pPr>
  </w:style>
  <w:style w:type="character" w:customStyle="1" w:styleId="104">
    <w:name w:val="样式 正文缩进 + 首行缩进:  2 字符 Char"/>
    <w:link w:val="105"/>
    <w:qFormat/>
    <w:locked/>
    <w:uiPriority w:val="0"/>
    <w:rPr>
      <w:sz w:val="24"/>
    </w:rPr>
  </w:style>
  <w:style w:type="paragraph" w:customStyle="1" w:styleId="105">
    <w:name w:val="样式 正文缩进 + 首行缩进:  2 字符"/>
    <w:basedOn w:val="14"/>
    <w:link w:val="104"/>
    <w:qFormat/>
    <w:uiPriority w:val="0"/>
    <w:pPr>
      <w:ind w:firstLine="200"/>
    </w:pPr>
    <w:rPr>
      <w:kern w:val="0"/>
      <w:szCs w:val="20"/>
    </w:rPr>
  </w:style>
  <w:style w:type="paragraph" w:customStyle="1" w:styleId="106">
    <w:name w:val="智业正文"/>
    <w:basedOn w:val="40"/>
    <w:link w:val="123"/>
    <w:qFormat/>
    <w:uiPriority w:val="0"/>
    <w:pPr>
      <w:spacing w:after="0"/>
      <w:ind w:firstLine="200" w:firstLineChars="200"/>
    </w:pPr>
    <w:rPr>
      <w:rFonts w:eastAsiaTheme="minorEastAsia"/>
    </w:rPr>
  </w:style>
  <w:style w:type="paragraph" w:customStyle="1" w:styleId="107">
    <w:name w:val="列出段落1"/>
    <w:basedOn w:val="1"/>
    <w:link w:val="142"/>
    <w:qFormat/>
    <w:uiPriority w:val="34"/>
    <w:pPr>
      <w:ind w:firstLine="420" w:firstLineChars="200"/>
    </w:pPr>
  </w:style>
  <w:style w:type="character" w:customStyle="1" w:styleId="108">
    <w:name w:val="列出段落 Char1"/>
    <w:link w:val="70"/>
    <w:qFormat/>
    <w:uiPriority w:val="34"/>
    <w:rPr>
      <w:rFonts w:ascii="宋体" w:hAnsi="宋体"/>
      <w:kern w:val="2"/>
      <w:sz w:val="24"/>
      <w:szCs w:val="24"/>
    </w:rPr>
  </w:style>
  <w:style w:type="character" w:customStyle="1" w:styleId="109">
    <w:name w:val="正文首行缩进 2 Char1"/>
    <w:basedOn w:val="67"/>
    <w:link w:val="41"/>
    <w:qFormat/>
    <w:uiPriority w:val="99"/>
    <w:rPr>
      <w:kern w:val="2"/>
      <w:sz w:val="24"/>
      <w:szCs w:val="22"/>
    </w:rPr>
  </w:style>
  <w:style w:type="paragraph" w:customStyle="1" w:styleId="110">
    <w:name w:val="msonormal"/>
    <w:basedOn w:val="1"/>
    <w:qFormat/>
    <w:uiPriority w:val="0"/>
    <w:pPr>
      <w:widowControl/>
      <w:spacing w:before="100" w:beforeAutospacing="1" w:after="100" w:afterAutospacing="1" w:line="240" w:lineRule="auto"/>
      <w:jc w:val="left"/>
    </w:pPr>
    <w:rPr>
      <w:rFonts w:ascii="宋体" w:hAnsi="宋体" w:cs="宋体"/>
      <w:kern w:val="0"/>
      <w:szCs w:val="24"/>
    </w:rPr>
  </w:style>
  <w:style w:type="paragraph" w:styleId="111">
    <w:name w:val="No Spacing"/>
    <w:qFormat/>
    <w:uiPriority w:val="1"/>
    <w:pPr>
      <w:widowControl w:val="0"/>
      <w:jc w:val="both"/>
    </w:pPr>
    <w:rPr>
      <w:rFonts w:ascii="宋体" w:hAnsi="宋体" w:eastAsia="宋体" w:cs="Times New Roman"/>
      <w:kern w:val="2"/>
      <w:sz w:val="24"/>
      <w:szCs w:val="24"/>
      <w:lang w:val="en-US" w:eastAsia="zh-CN" w:bidi="ar-SA"/>
    </w:rPr>
  </w:style>
  <w:style w:type="paragraph" w:customStyle="1" w:styleId="112">
    <w:name w:val="修订1"/>
    <w:qFormat/>
    <w:uiPriority w:val="99"/>
    <w:rPr>
      <w:rFonts w:ascii="宋体" w:hAnsi="宋体" w:eastAsia="宋体" w:cs="Times New Roman"/>
      <w:kern w:val="2"/>
      <w:sz w:val="24"/>
      <w:szCs w:val="24"/>
      <w:lang w:val="en-US" w:eastAsia="zh-CN" w:bidi="ar-SA"/>
    </w:rPr>
  </w:style>
  <w:style w:type="paragraph" w:customStyle="1" w:styleId="113">
    <w:name w:val="标题6"/>
    <w:basedOn w:val="1"/>
    <w:next w:val="1"/>
    <w:semiHidden/>
    <w:qFormat/>
    <w:uiPriority w:val="1"/>
    <w:pPr>
      <w:keepNext/>
      <w:keepLines/>
      <w:widowControl/>
      <w:suppressLineNumbers/>
      <w:spacing w:before="280" w:after="290" w:line="240" w:lineRule="atLeast"/>
      <w:jc w:val="left"/>
      <w:outlineLvl w:val="5"/>
    </w:pPr>
    <w:rPr>
      <w:rFonts w:ascii="宋体" w:hAnsi="宋体"/>
      <w:szCs w:val="21"/>
    </w:rPr>
  </w:style>
  <w:style w:type="character" w:customStyle="1" w:styleId="114">
    <w:name w:val="表格正文 Char"/>
    <w:link w:val="115"/>
    <w:qFormat/>
    <w:locked/>
    <w:uiPriority w:val="4"/>
    <w:rPr>
      <w:rFonts w:cs="Calibri"/>
      <w:kern w:val="2"/>
      <w:sz w:val="21"/>
      <w:szCs w:val="21"/>
    </w:rPr>
  </w:style>
  <w:style w:type="paragraph" w:customStyle="1" w:styleId="115">
    <w:name w:val="表格正文"/>
    <w:link w:val="114"/>
    <w:qFormat/>
    <w:uiPriority w:val="4"/>
    <w:pPr>
      <w:spacing w:line="276" w:lineRule="auto"/>
      <w:jc w:val="center"/>
    </w:pPr>
    <w:rPr>
      <w:rFonts w:ascii="Calibri" w:hAnsi="Calibri" w:eastAsia="宋体" w:cs="Calibri"/>
      <w:kern w:val="2"/>
      <w:sz w:val="21"/>
      <w:szCs w:val="21"/>
      <w:lang w:val="en-US" w:eastAsia="zh-CN" w:bidi="ar-SA"/>
    </w:rPr>
  </w:style>
  <w:style w:type="paragraph" w:customStyle="1" w:styleId="116">
    <w:name w:val="TOC 标题11"/>
    <w:basedOn w:val="2"/>
    <w:next w:val="1"/>
    <w:semiHidden/>
    <w:qFormat/>
    <w:uiPriority w:val="39"/>
    <w:pPr>
      <w:widowControl/>
      <w:numPr>
        <w:numId w:val="0"/>
      </w:numPr>
      <w:adjustRightInd w:val="0"/>
      <w:spacing w:before="240" w:beforeLines="0" w:after="0" w:afterLines="0" w:line="256" w:lineRule="auto"/>
      <w:jc w:val="left"/>
      <w:outlineLvl w:val="9"/>
    </w:pPr>
    <w:rPr>
      <w:rFonts w:ascii="Cambria" w:hAnsi="Cambria" w:eastAsia="宋体"/>
      <w:b w:val="0"/>
      <w:bCs w:val="0"/>
      <w:color w:val="365F91"/>
      <w:kern w:val="0"/>
      <w:sz w:val="32"/>
      <w:szCs w:val="32"/>
    </w:rPr>
  </w:style>
  <w:style w:type="paragraph" w:customStyle="1" w:styleId="117">
    <w:name w:val="Header Left"/>
    <w:basedOn w:val="29"/>
    <w:semiHidden/>
    <w:qFormat/>
    <w:uiPriority w:val="35"/>
    <w:pPr>
      <w:widowControl/>
      <w:pBdr>
        <w:bottom w:val="dashed" w:color="7F7F7F" w:sz="4" w:space="18"/>
      </w:pBdr>
      <w:tabs>
        <w:tab w:val="center" w:pos="4320"/>
        <w:tab w:val="right" w:pos="8640"/>
        <w:tab w:val="clear" w:pos="4153"/>
        <w:tab w:val="clear" w:pos="8306"/>
      </w:tabs>
      <w:snapToGrid/>
      <w:spacing w:after="200" w:line="396" w:lineRule="auto"/>
      <w:jc w:val="left"/>
    </w:pPr>
    <w:rPr>
      <w:color w:val="7F7F7F"/>
      <w:kern w:val="0"/>
      <w:sz w:val="20"/>
      <w:szCs w:val="20"/>
    </w:rPr>
  </w:style>
  <w:style w:type="paragraph" w:customStyle="1" w:styleId="118">
    <w:name w:val="Header Odd"/>
    <w:basedOn w:val="111"/>
    <w:semiHidden/>
    <w:qFormat/>
    <w:uiPriority w:val="99"/>
    <w:pPr>
      <w:widowControl/>
      <w:pBdr>
        <w:bottom w:val="single" w:color="4F81BD" w:sz="4" w:space="1"/>
      </w:pBdr>
      <w:jc w:val="right"/>
    </w:pPr>
    <w:rPr>
      <w:rFonts w:ascii="Calibri" w:hAnsi="Calibri"/>
      <w:b/>
      <w:bCs/>
      <w:color w:val="1F497D"/>
      <w:kern w:val="0"/>
      <w:sz w:val="20"/>
      <w:szCs w:val="23"/>
    </w:rPr>
  </w:style>
  <w:style w:type="character" w:customStyle="1" w:styleId="119">
    <w:name w:val="表名 Char"/>
    <w:link w:val="120"/>
    <w:semiHidden/>
    <w:qFormat/>
    <w:locked/>
    <w:uiPriority w:val="0"/>
    <w:rPr>
      <w:rFonts w:ascii="Arial" w:hAnsi="Arial" w:eastAsia="黑体" w:cs="Arial"/>
      <w:kern w:val="2"/>
    </w:rPr>
  </w:style>
  <w:style w:type="paragraph" w:customStyle="1" w:styleId="120">
    <w:name w:val="表名"/>
    <w:basedOn w:val="1"/>
    <w:link w:val="119"/>
    <w:semiHidden/>
    <w:qFormat/>
    <w:uiPriority w:val="0"/>
    <w:pPr>
      <w:spacing w:beforeLines="50"/>
      <w:jc w:val="center"/>
    </w:pPr>
    <w:rPr>
      <w:rFonts w:ascii="Arial" w:hAnsi="Arial" w:eastAsia="黑体" w:cs="Arial"/>
      <w:sz w:val="20"/>
      <w:szCs w:val="20"/>
    </w:rPr>
  </w:style>
  <w:style w:type="character" w:customStyle="1" w:styleId="121">
    <w:name w:val="图名 Char"/>
    <w:link w:val="122"/>
    <w:semiHidden/>
    <w:qFormat/>
    <w:locked/>
    <w:uiPriority w:val="0"/>
    <w:rPr>
      <w:rFonts w:ascii="黑体" w:hAnsi="黑体" w:eastAsia="黑体"/>
      <w:szCs w:val="24"/>
    </w:rPr>
  </w:style>
  <w:style w:type="paragraph" w:customStyle="1" w:styleId="122">
    <w:name w:val="图名"/>
    <w:basedOn w:val="83"/>
    <w:link w:val="121"/>
    <w:semiHidden/>
    <w:qFormat/>
    <w:uiPriority w:val="0"/>
    <w:pPr>
      <w:widowControl/>
      <w:spacing w:after="0" w:afterLines="0" w:line="240" w:lineRule="auto"/>
    </w:pPr>
  </w:style>
  <w:style w:type="character" w:customStyle="1" w:styleId="123">
    <w:name w:val="智业正文 Char"/>
    <w:link w:val="106"/>
    <w:qFormat/>
    <w:locked/>
    <w:uiPriority w:val="0"/>
    <w:rPr>
      <w:rFonts w:ascii="宋体" w:hAnsi="宋体" w:eastAsiaTheme="minorEastAsia"/>
      <w:kern w:val="2"/>
      <w:sz w:val="24"/>
      <w:szCs w:val="24"/>
    </w:rPr>
  </w:style>
  <w:style w:type="character" w:customStyle="1" w:styleId="124">
    <w:name w:val="标题第二行 Char"/>
    <w:link w:val="125"/>
    <w:semiHidden/>
    <w:qFormat/>
    <w:locked/>
    <w:uiPriority w:val="0"/>
    <w:rPr>
      <w:rFonts w:ascii="宋体" w:hAnsi="宋体" w:eastAsia="黑体" w:cs="Arial"/>
      <w:b/>
      <w:bCs/>
      <w:color w:val="000000"/>
      <w:kern w:val="2"/>
      <w:sz w:val="72"/>
      <w:szCs w:val="32"/>
    </w:rPr>
  </w:style>
  <w:style w:type="paragraph" w:customStyle="1" w:styleId="125">
    <w:name w:val="标题第二行"/>
    <w:basedOn w:val="37"/>
    <w:link w:val="124"/>
    <w:semiHidden/>
    <w:qFormat/>
    <w:uiPriority w:val="0"/>
    <w:pPr>
      <w:spacing w:before="100" w:after="60"/>
    </w:pPr>
    <w:rPr>
      <w:color w:val="000000"/>
      <w:sz w:val="72"/>
    </w:rPr>
  </w:style>
  <w:style w:type="character" w:customStyle="1" w:styleId="126">
    <w:name w:val="标题第三行 Char"/>
    <w:link w:val="127"/>
    <w:semiHidden/>
    <w:qFormat/>
    <w:locked/>
    <w:uiPriority w:val="0"/>
    <w:rPr>
      <w:rFonts w:ascii="宋体" w:hAnsi="宋体" w:eastAsia="黑体" w:cs="Arial"/>
      <w:b/>
      <w:bCs/>
      <w:color w:val="000000"/>
      <w:kern w:val="2"/>
      <w:sz w:val="72"/>
      <w:szCs w:val="32"/>
    </w:rPr>
  </w:style>
  <w:style w:type="paragraph" w:customStyle="1" w:styleId="127">
    <w:name w:val="标题第三行"/>
    <w:basedOn w:val="125"/>
    <w:link w:val="126"/>
    <w:semiHidden/>
    <w:qFormat/>
    <w:uiPriority w:val="0"/>
  </w:style>
  <w:style w:type="character" w:customStyle="1" w:styleId="128">
    <w:name w:val="正文样式 Char"/>
    <w:link w:val="129"/>
    <w:qFormat/>
    <w:locked/>
    <w:uiPriority w:val="0"/>
    <w:rPr>
      <w:rFonts w:ascii="宋体" w:hAnsi="宋体" w:eastAsia="仿宋"/>
      <w:kern w:val="2"/>
      <w:sz w:val="28"/>
      <w:szCs w:val="24"/>
    </w:rPr>
  </w:style>
  <w:style w:type="paragraph" w:customStyle="1" w:styleId="129">
    <w:name w:val="正文样式"/>
    <w:basedOn w:val="40"/>
    <w:link w:val="128"/>
    <w:qFormat/>
    <w:uiPriority w:val="0"/>
    <w:pPr>
      <w:spacing w:after="0"/>
      <w:ind w:firstLine="200" w:firstLineChars="200"/>
    </w:pPr>
    <w:rPr>
      <w:rFonts w:eastAsia="仿宋"/>
      <w:sz w:val="28"/>
    </w:rPr>
  </w:style>
  <w:style w:type="character" w:customStyle="1" w:styleId="130">
    <w:name w:val="引用 Char"/>
    <w:link w:val="131"/>
    <w:semiHidden/>
    <w:qFormat/>
    <w:locked/>
    <w:uiPriority w:val="0"/>
    <w:rPr>
      <w:iCs/>
      <w:color w:val="000000"/>
      <w:kern w:val="2"/>
      <w:sz w:val="21"/>
      <w:szCs w:val="24"/>
    </w:rPr>
  </w:style>
  <w:style w:type="paragraph" w:customStyle="1" w:styleId="131">
    <w:name w:val="引用1"/>
    <w:basedOn w:val="1"/>
    <w:next w:val="1"/>
    <w:link w:val="130"/>
    <w:semiHidden/>
    <w:qFormat/>
    <w:uiPriority w:val="0"/>
    <w:pPr>
      <w:keepNext/>
      <w:spacing w:line="240" w:lineRule="auto"/>
      <w:jc w:val="center"/>
    </w:pPr>
    <w:rPr>
      <w:iCs/>
      <w:color w:val="000000"/>
      <w:sz w:val="21"/>
      <w:szCs w:val="24"/>
    </w:rPr>
  </w:style>
  <w:style w:type="paragraph" w:customStyle="1" w:styleId="132">
    <w:name w:val="样式 标题 4H4h4First Subheadingsect 1.2.3.4Ref Heading 1rh1se..."/>
    <w:basedOn w:val="6"/>
    <w:semiHidden/>
    <w:qFormat/>
    <w:uiPriority w:val="99"/>
    <w:pPr>
      <w:keepNext w:val="0"/>
      <w:keepLines w:val="0"/>
      <w:numPr>
        <w:numId w:val="5"/>
      </w:numPr>
      <w:tabs>
        <w:tab w:val="left" w:pos="425"/>
        <w:tab w:val="left" w:pos="864"/>
        <w:tab w:val="left" w:pos="1432"/>
        <w:tab w:val="left" w:pos="1984"/>
        <w:tab w:val="clear" w:pos="60"/>
      </w:tabs>
      <w:spacing w:before="280" w:after="290" w:line="372" w:lineRule="auto"/>
      <w:ind w:left="3968" w:right="240" w:rightChars="100"/>
      <w:jc w:val="both"/>
    </w:pPr>
    <w:rPr>
      <w:rFonts w:ascii="Arial" w:hAnsi="Arial"/>
      <w:b w:val="0"/>
      <w:bCs w:val="0"/>
      <w:sz w:val="28"/>
    </w:rPr>
  </w:style>
  <w:style w:type="character" w:customStyle="1" w:styleId="133">
    <w:name w:val="正文-zy Char Char"/>
    <w:link w:val="134"/>
    <w:qFormat/>
    <w:locked/>
    <w:uiPriority w:val="0"/>
    <w:rPr>
      <w:kern w:val="2"/>
      <w:sz w:val="24"/>
      <w:szCs w:val="22"/>
    </w:rPr>
  </w:style>
  <w:style w:type="paragraph" w:customStyle="1" w:styleId="134">
    <w:name w:val="正文-zy"/>
    <w:basedOn w:val="1"/>
    <w:link w:val="133"/>
    <w:qFormat/>
    <w:uiPriority w:val="0"/>
    <w:pPr>
      <w:ind w:firstLine="480" w:firstLineChars="200"/>
    </w:pPr>
  </w:style>
  <w:style w:type="character" w:customStyle="1" w:styleId="135">
    <w:name w:val="符号1-zy Char"/>
    <w:link w:val="136"/>
    <w:semiHidden/>
    <w:qFormat/>
    <w:locked/>
    <w:uiPriority w:val="0"/>
    <w:rPr>
      <w:rFonts w:ascii="Calibri" w:hAnsi="Calibri" w:cs="Calibri"/>
      <w:b/>
      <w:kern w:val="2"/>
      <w:sz w:val="24"/>
      <w:szCs w:val="24"/>
    </w:rPr>
  </w:style>
  <w:style w:type="paragraph" w:customStyle="1" w:styleId="136">
    <w:name w:val="符号1-zy"/>
    <w:basedOn w:val="1"/>
    <w:link w:val="135"/>
    <w:semiHidden/>
    <w:qFormat/>
    <w:uiPriority w:val="0"/>
    <w:pPr>
      <w:numPr>
        <w:ilvl w:val="0"/>
        <w:numId w:val="6"/>
      </w:numPr>
    </w:pPr>
    <w:rPr>
      <w:rFonts w:cs="Calibri"/>
      <w:b/>
      <w:szCs w:val="24"/>
    </w:rPr>
  </w:style>
  <w:style w:type="character" w:customStyle="1" w:styleId="137">
    <w:name w:val="1正文1 Char"/>
    <w:link w:val="138"/>
    <w:semiHidden/>
    <w:qFormat/>
    <w:locked/>
    <w:uiPriority w:val="0"/>
    <w:rPr>
      <w:rFonts w:ascii="宋体" w:hAnsi="宋体" w:eastAsia="仿宋"/>
      <w:kern w:val="2"/>
      <w:sz w:val="28"/>
    </w:rPr>
  </w:style>
  <w:style w:type="paragraph" w:customStyle="1" w:styleId="138">
    <w:name w:val="1正文1"/>
    <w:basedOn w:val="1"/>
    <w:link w:val="137"/>
    <w:semiHidden/>
    <w:qFormat/>
    <w:uiPriority w:val="0"/>
    <w:pPr>
      <w:ind w:firstLine="200" w:firstLineChars="200"/>
    </w:pPr>
    <w:rPr>
      <w:rFonts w:ascii="宋体" w:hAnsi="宋体" w:eastAsia="仿宋"/>
      <w:sz w:val="28"/>
      <w:szCs w:val="20"/>
    </w:rPr>
  </w:style>
  <w:style w:type="character" w:customStyle="1" w:styleId="139">
    <w:name w:val="段 Char Char"/>
    <w:link w:val="140"/>
    <w:semiHidden/>
    <w:qFormat/>
    <w:locked/>
    <w:uiPriority w:val="0"/>
    <w:rPr>
      <w:rFonts w:ascii="宋体" w:hAnsi="宋体" w:cs="宋体"/>
      <w:sz w:val="21"/>
      <w:szCs w:val="21"/>
    </w:rPr>
  </w:style>
  <w:style w:type="paragraph" w:customStyle="1" w:styleId="140">
    <w:name w:val="段"/>
    <w:link w:val="139"/>
    <w:semiHidden/>
    <w:qFormat/>
    <w:uiPriority w:val="0"/>
    <w:pPr>
      <w:autoSpaceDE w:val="0"/>
      <w:autoSpaceDN w:val="0"/>
      <w:ind w:firstLine="200" w:firstLineChars="200"/>
      <w:jc w:val="both"/>
    </w:pPr>
    <w:rPr>
      <w:rFonts w:ascii="宋体" w:hAnsi="宋体" w:eastAsia="宋体" w:cs="宋体"/>
      <w:sz w:val="21"/>
      <w:szCs w:val="21"/>
      <w:lang w:val="en-US" w:eastAsia="zh-CN" w:bidi="ar-SA"/>
    </w:rPr>
  </w:style>
  <w:style w:type="paragraph" w:customStyle="1" w:styleId="141">
    <w:name w:val="列出段落2"/>
    <w:basedOn w:val="1"/>
    <w:semiHidden/>
    <w:qFormat/>
    <w:uiPriority w:val="34"/>
    <w:pPr>
      <w:ind w:firstLine="420" w:firstLineChars="200"/>
    </w:pPr>
    <w:rPr>
      <w:rFonts w:ascii="宋体" w:hAnsi="宋体"/>
      <w:szCs w:val="24"/>
    </w:rPr>
  </w:style>
  <w:style w:type="character" w:customStyle="1" w:styleId="142">
    <w:name w:val="列出段落1 Char"/>
    <w:link w:val="107"/>
    <w:qFormat/>
    <w:locked/>
    <w:uiPriority w:val="34"/>
    <w:rPr>
      <w:kern w:val="2"/>
      <w:sz w:val="24"/>
      <w:szCs w:val="22"/>
    </w:rPr>
  </w:style>
  <w:style w:type="paragraph" w:customStyle="1" w:styleId="143">
    <w:name w:val="修订11"/>
    <w:semiHidden/>
    <w:qFormat/>
    <w:uiPriority w:val="99"/>
    <w:rPr>
      <w:rFonts w:ascii="宋体" w:hAnsi="宋体" w:eastAsia="宋体" w:cs="Times New Roman"/>
      <w:kern w:val="2"/>
      <w:sz w:val="24"/>
      <w:szCs w:val="24"/>
      <w:lang w:val="en-US" w:eastAsia="zh-CN" w:bidi="ar-SA"/>
    </w:rPr>
  </w:style>
  <w:style w:type="character" w:customStyle="1" w:styleId="144">
    <w:name w:val="正文-fa Char"/>
    <w:link w:val="145"/>
    <w:qFormat/>
    <w:locked/>
    <w:uiPriority w:val="0"/>
    <w:rPr>
      <w:kern w:val="2"/>
      <w:sz w:val="24"/>
      <w:szCs w:val="22"/>
    </w:rPr>
  </w:style>
  <w:style w:type="paragraph" w:customStyle="1" w:styleId="145">
    <w:name w:val="正文-fa"/>
    <w:basedOn w:val="1"/>
    <w:link w:val="144"/>
    <w:qFormat/>
    <w:uiPriority w:val="0"/>
    <w:pPr>
      <w:ind w:firstLine="480" w:firstLineChars="200"/>
    </w:pPr>
  </w:style>
  <w:style w:type="character" w:customStyle="1" w:styleId="146">
    <w:name w:val="方案正文 Char"/>
    <w:link w:val="147"/>
    <w:semiHidden/>
    <w:qFormat/>
    <w:locked/>
    <w:uiPriority w:val="0"/>
    <w:rPr>
      <w:rFonts w:ascii="宋体" w:hAnsi="宋体"/>
      <w:kern w:val="2"/>
      <w:sz w:val="24"/>
      <w:szCs w:val="24"/>
    </w:rPr>
  </w:style>
  <w:style w:type="paragraph" w:customStyle="1" w:styleId="147">
    <w:name w:val="方案正文"/>
    <w:basedOn w:val="40"/>
    <w:link w:val="146"/>
    <w:semiHidden/>
    <w:qFormat/>
    <w:uiPriority w:val="0"/>
    <w:pPr>
      <w:spacing w:after="0"/>
      <w:ind w:firstLine="200" w:firstLineChars="200"/>
    </w:pPr>
  </w:style>
  <w:style w:type="paragraph" w:customStyle="1" w:styleId="148">
    <w:name w:val="Fließtext"/>
    <w:basedOn w:val="1"/>
    <w:qFormat/>
    <w:uiPriority w:val="0"/>
    <w:pPr>
      <w:overflowPunct w:val="0"/>
      <w:autoSpaceDE w:val="0"/>
      <w:autoSpaceDN w:val="0"/>
      <w:adjustRightInd w:val="0"/>
    </w:pPr>
    <w:rPr>
      <w:rFonts w:ascii="Times New Roman" w:hAnsi="Times New Roman"/>
      <w:kern w:val="28"/>
      <w:szCs w:val="20"/>
    </w:rPr>
  </w:style>
  <w:style w:type="character" w:customStyle="1" w:styleId="149">
    <w:name w:val="新正文 Char"/>
    <w:link w:val="150"/>
    <w:qFormat/>
    <w:locked/>
    <w:uiPriority w:val="0"/>
    <w:rPr>
      <w:rFonts w:ascii="宋体" w:hAnsi="宋体"/>
      <w:sz w:val="24"/>
      <w:szCs w:val="28"/>
    </w:rPr>
  </w:style>
  <w:style w:type="paragraph" w:customStyle="1" w:styleId="150">
    <w:name w:val="新正文"/>
    <w:basedOn w:val="1"/>
    <w:link w:val="149"/>
    <w:qFormat/>
    <w:uiPriority w:val="0"/>
    <w:pPr>
      <w:ind w:firstLine="200" w:firstLineChars="200"/>
    </w:pPr>
    <w:rPr>
      <w:rFonts w:ascii="宋体" w:hAnsi="宋体"/>
      <w:kern w:val="0"/>
      <w:szCs w:val="28"/>
    </w:rPr>
  </w:style>
  <w:style w:type="paragraph" w:customStyle="1" w:styleId="151">
    <w:name w:val="市数办正文"/>
    <w:basedOn w:val="1"/>
    <w:semiHidden/>
    <w:qFormat/>
    <w:uiPriority w:val="99"/>
    <w:pPr>
      <w:ind w:firstLine="480" w:firstLineChars="200"/>
    </w:pPr>
    <w:rPr>
      <w:rFonts w:ascii="宋体" w:hAnsi="宋体"/>
      <w:szCs w:val="24"/>
    </w:rPr>
  </w:style>
  <w:style w:type="paragraph" w:customStyle="1" w:styleId="152">
    <w:name w:val="修订2"/>
    <w:semiHidden/>
    <w:qFormat/>
    <w:uiPriority w:val="99"/>
    <w:rPr>
      <w:rFonts w:ascii="宋体" w:hAnsi="宋体" w:eastAsia="宋体" w:cs="Times New Roman"/>
      <w:kern w:val="2"/>
      <w:sz w:val="24"/>
      <w:szCs w:val="24"/>
      <w:lang w:val="en-US" w:eastAsia="zh-CN" w:bidi="ar-SA"/>
    </w:rPr>
  </w:style>
  <w:style w:type="paragraph" w:customStyle="1" w:styleId="153">
    <w:name w:val="修订3"/>
    <w:semiHidden/>
    <w:qFormat/>
    <w:uiPriority w:val="99"/>
    <w:rPr>
      <w:rFonts w:ascii="宋体" w:hAnsi="宋体" w:eastAsia="宋体" w:cs="Times New Roman"/>
      <w:kern w:val="2"/>
      <w:sz w:val="24"/>
      <w:szCs w:val="24"/>
      <w:lang w:val="en-US" w:eastAsia="zh-CN" w:bidi="ar-SA"/>
    </w:rPr>
  </w:style>
  <w:style w:type="paragraph" w:customStyle="1" w:styleId="154">
    <w:name w:val="修订4"/>
    <w:semiHidden/>
    <w:qFormat/>
    <w:uiPriority w:val="99"/>
    <w:rPr>
      <w:rFonts w:ascii="宋体" w:hAnsi="宋体" w:eastAsia="宋体" w:cs="Times New Roman"/>
      <w:kern w:val="2"/>
      <w:sz w:val="24"/>
      <w:szCs w:val="24"/>
      <w:lang w:val="en-US" w:eastAsia="zh-CN" w:bidi="ar-SA"/>
    </w:rPr>
  </w:style>
  <w:style w:type="paragraph" w:customStyle="1" w:styleId="155">
    <w:name w:val="List Paragraph1"/>
    <w:basedOn w:val="1"/>
    <w:qFormat/>
    <w:uiPriority w:val="99"/>
    <w:pPr>
      <w:wordWrap w:val="0"/>
      <w:adjustRightInd w:val="0"/>
      <w:spacing w:before="120" w:after="120"/>
      <w:ind w:left="150" w:leftChars="150" w:firstLine="420" w:firstLineChars="200"/>
      <w:jc w:val="left"/>
    </w:pPr>
    <w:rPr>
      <w:rFonts w:ascii="宋体" w:hAnsi="宋体"/>
      <w:sz w:val="21"/>
      <w:szCs w:val="21"/>
    </w:rPr>
  </w:style>
  <w:style w:type="character" w:styleId="156">
    <w:name w:val="Placeholder Text"/>
    <w:semiHidden/>
    <w:qFormat/>
    <w:uiPriority w:val="99"/>
    <w:rPr>
      <w:color w:val="808080"/>
    </w:rPr>
  </w:style>
  <w:style w:type="character" w:customStyle="1" w:styleId="157">
    <w:name w:val="Style1"/>
    <w:qFormat/>
    <w:uiPriority w:val="1"/>
    <w:rPr>
      <w:rFonts w:hint="default" w:ascii="Calibri" w:hAnsi="宋体" w:eastAsia="宋体" w:cs="Times New Roman"/>
      <w:sz w:val="22"/>
      <w:szCs w:val="22"/>
      <w:lang w:eastAsia="zh-CN"/>
    </w:rPr>
  </w:style>
  <w:style w:type="character" w:customStyle="1" w:styleId="158">
    <w:name w:val="不明显强调1"/>
    <w:qFormat/>
    <w:uiPriority w:val="19"/>
    <w:rPr>
      <w:i/>
      <w:iCs/>
      <w:color w:val="404040"/>
    </w:rPr>
  </w:style>
  <w:style w:type="character" w:customStyle="1" w:styleId="159">
    <w:name w:val="正文样式 Char Char"/>
    <w:qFormat/>
    <w:uiPriority w:val="0"/>
  </w:style>
  <w:style w:type="character" w:customStyle="1" w:styleId="160">
    <w:name w:val="apple-style-span"/>
    <w:qFormat/>
    <w:uiPriority w:val="0"/>
  </w:style>
  <w:style w:type="character" w:customStyle="1" w:styleId="161">
    <w:name w:val="正文文本 + Arial Unicode MS"/>
    <w:basedOn w:val="47"/>
    <w:qFormat/>
    <w:uiPriority w:val="0"/>
    <w:rPr>
      <w:rFonts w:hint="eastAsia" w:ascii="Arial Unicode MS" w:hAnsi="Arial Unicode MS" w:eastAsia="Arial Unicode MS" w:cs="Arial Unicode MS"/>
      <w:color w:val="000000"/>
      <w:spacing w:val="0"/>
      <w:w w:val="100"/>
      <w:position w:val="0"/>
      <w:sz w:val="14"/>
      <w:szCs w:val="14"/>
      <w:u w:val="none"/>
      <w:lang w:val="en-US"/>
    </w:rPr>
  </w:style>
  <w:style w:type="character" w:customStyle="1" w:styleId="162">
    <w:name w:val="明显参考1"/>
    <w:qFormat/>
    <w:uiPriority w:val="10"/>
    <w:rPr>
      <w:rFonts w:hint="eastAsia" w:ascii="宋体" w:hAnsi="宋体" w:eastAsia="宋体"/>
      <w:bCs/>
      <w:smallCaps/>
      <w:color w:val="365F91"/>
      <w:spacing w:val="0"/>
      <w:sz w:val="21"/>
    </w:rPr>
  </w:style>
  <w:style w:type="character" w:customStyle="1" w:styleId="163">
    <w:name w:val="样式1 Char Char"/>
    <w:qFormat/>
    <w:uiPriority w:val="0"/>
    <w:rPr>
      <w:rFonts w:hint="eastAsia" w:ascii="黑体" w:hAnsi="宋体" w:eastAsia="黑体" w:cs="Times New Roman"/>
      <w:kern w:val="0"/>
      <w:sz w:val="32"/>
      <w:szCs w:val="20"/>
    </w:rPr>
  </w:style>
  <w:style w:type="character" w:customStyle="1" w:styleId="164">
    <w:name w:val="未处理的提及1"/>
    <w:basedOn w:val="47"/>
    <w:semiHidden/>
    <w:qFormat/>
    <w:uiPriority w:val="99"/>
    <w:rPr>
      <w:color w:val="605E5C"/>
      <w:shd w:val="clear" w:color="auto" w:fill="E1DFDD"/>
    </w:rPr>
  </w:style>
  <w:style w:type="character" w:customStyle="1" w:styleId="165">
    <w:name w:val="未处理的提及2"/>
    <w:basedOn w:val="47"/>
    <w:semiHidden/>
    <w:qFormat/>
    <w:uiPriority w:val="99"/>
    <w:rPr>
      <w:color w:val="605E5C"/>
      <w:shd w:val="clear" w:color="auto" w:fill="E1DFDD"/>
    </w:rPr>
  </w:style>
  <w:style w:type="table" w:customStyle="1" w:styleId="166">
    <w:name w:val="中等深浅网格 2 - 着色 11"/>
    <w:basedOn w:val="4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cPr>
      <w:shd w:val="clear" w:color="auto" w:fill="D6E6F4" w:themeFill="accent1" w:themeFillTint="3F"/>
    </w:tcPr>
    <w:tblStylePr w:type="firstRow">
      <w:rPr>
        <w:b/>
        <w:bCs/>
        <w:color w:val="000000" w:themeColor="text1"/>
        <w14:textFill>
          <w14:solidFill>
            <w14:schemeClr w14:val="tx1"/>
          </w14:solidFill>
        </w14:textFill>
      </w:rPr>
      <w:tcPr>
        <w:shd w:val="clear" w:color="auto" w:fill="EEF5FA" w:themeFill="accent1"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DEEAF6" w:themeFill="accent1" w:themeFillTint="33"/>
      </w:tcPr>
    </w:tblStylePr>
    <w:tblStylePr w:type="band1Vert">
      <w:tcPr>
        <w:shd w:val="clear" w:color="auto" w:fill="ADCDEA" w:themeFill="accent1" w:themeFillTint="7F"/>
      </w:tcPr>
    </w:tblStylePr>
    <w:tblStylePr w:type="band1Horz">
      <w:tcPr>
        <w:tcBorders>
          <w:insideH w:val="single" w:sz="6" w:space="0"/>
          <w:insideV w:val="single" w:sz="6" w:space="0"/>
        </w:tcBorders>
        <w:shd w:val="clear" w:color="auto" w:fill="ADCDEA" w:themeFill="accent1" w:themeFillTint="7F"/>
      </w:tcPr>
    </w:tblStylePr>
    <w:tblStylePr w:type="nwCell">
      <w:tcPr>
        <w:shd w:val="clear" w:color="auto" w:fill="FFFFFF" w:themeFill="background1"/>
      </w:tcPr>
    </w:tblStylePr>
  </w:style>
  <w:style w:type="table" w:customStyle="1" w:styleId="167">
    <w:name w:val="中等深浅网格 3 - 着色 11"/>
    <w:basedOn w:val="4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6E6F4" w:themeFill="accent1"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5B9BD5" w:themeFill="accent1"/>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5B9BD5" w:themeFill="accent1"/>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5B9BD5" w:themeFill="accent1"/>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5B9BD5" w:themeFill="accent1"/>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DEA" w:themeFill="accent1"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DCDEA" w:themeFill="accent1" w:themeFillTint="7F"/>
      </w:tcPr>
    </w:tblStylePr>
  </w:style>
  <w:style w:type="character" w:customStyle="1" w:styleId="168">
    <w:name w:val="未处理的提及3"/>
    <w:basedOn w:val="47"/>
    <w:semiHidden/>
    <w:unhideWhenUsed/>
    <w:qFormat/>
    <w:uiPriority w:val="99"/>
    <w:rPr>
      <w:color w:val="605E5C"/>
      <w:shd w:val="clear" w:color="auto" w:fill="E1DFDD"/>
    </w:rPr>
  </w:style>
  <w:style w:type="character" w:customStyle="1" w:styleId="169">
    <w:name w:val="未处理的提及4"/>
    <w:basedOn w:val="47"/>
    <w:semiHidden/>
    <w:unhideWhenUsed/>
    <w:qFormat/>
    <w:uiPriority w:val="99"/>
    <w:rPr>
      <w:color w:val="605E5C"/>
      <w:shd w:val="clear" w:color="auto" w:fill="E1DFDD"/>
    </w:rPr>
  </w:style>
  <w:style w:type="paragraph" w:customStyle="1" w:styleId="170">
    <w:name w:val="段落k"/>
    <w:basedOn w:val="70"/>
    <w:next w:val="106"/>
    <w:link w:val="171"/>
    <w:qFormat/>
    <w:uiPriority w:val="0"/>
    <w:pPr>
      <w:numPr>
        <w:ilvl w:val="0"/>
        <w:numId w:val="7"/>
      </w:numPr>
      <w:ind w:left="0" w:firstLine="200"/>
    </w:pPr>
  </w:style>
  <w:style w:type="character" w:customStyle="1" w:styleId="171">
    <w:name w:val="段落k Char"/>
    <w:basedOn w:val="47"/>
    <w:link w:val="170"/>
    <w:qFormat/>
    <w:uiPriority w:val="0"/>
    <w:rPr>
      <w:rFonts w:ascii="宋体" w:hAnsi="宋体"/>
      <w:kern w:val="2"/>
      <w:sz w:val="24"/>
      <w:szCs w:val="24"/>
    </w:rPr>
  </w:style>
  <w:style w:type="table" w:customStyle="1" w:styleId="172">
    <w:name w:val="表格样式2"/>
    <w:basedOn w:val="44"/>
    <w:qFormat/>
    <w:uiPriority w:val="0"/>
    <w:pPr>
      <w:adjustRightInd w:val="0"/>
      <w:spacing w:line="315" w:lineRule="atLeast"/>
      <w:jc w:val="left"/>
      <w:textAlignment w:val="baseline"/>
    </w:pPr>
  </w:style>
  <w:style w:type="character" w:customStyle="1" w:styleId="173">
    <w:name w:val="纯文本 Char"/>
    <w:basedOn w:val="47"/>
    <w:link w:val="24"/>
    <w:semiHidden/>
    <w:qFormat/>
    <w:uiPriority w:val="99"/>
    <w:rPr>
      <w:rFonts w:hAnsi="Courier New" w:cs="Courier New" w:asciiTheme="minorEastAsia" w:eastAsiaTheme="minorEastAsia"/>
      <w:kern w:val="2"/>
      <w:sz w:val="24"/>
      <w:szCs w:val="22"/>
    </w:rPr>
  </w:style>
  <w:style w:type="character" w:customStyle="1" w:styleId="174">
    <w:name w:val="*正文 Char"/>
    <w:link w:val="175"/>
    <w:qFormat/>
    <w:uiPriority w:val="0"/>
    <w:rPr>
      <w:sz w:val="24"/>
      <w:szCs w:val="24"/>
    </w:rPr>
  </w:style>
  <w:style w:type="paragraph" w:customStyle="1" w:styleId="175">
    <w:name w:val="*正文"/>
    <w:basedOn w:val="1"/>
    <w:link w:val="174"/>
    <w:qFormat/>
    <w:uiPriority w:val="0"/>
    <w:pPr>
      <w:ind w:firstLine="200" w:firstLineChars="200"/>
    </w:pPr>
    <w:rPr>
      <w:kern w:val="0"/>
      <w:szCs w:val="24"/>
    </w:rPr>
  </w:style>
  <w:style w:type="paragraph" w:customStyle="1" w:styleId="176">
    <w:name w:val="正文标准"/>
    <w:basedOn w:val="40"/>
    <w:qFormat/>
    <w:uiPriority w:val="0"/>
    <w:pPr>
      <w:spacing w:after="0" w:line="480" w:lineRule="exact"/>
      <w:ind w:firstLine="200" w:firstLineChars="200"/>
      <w:jc w:val="left"/>
    </w:pPr>
    <w:rPr>
      <w:rFonts w:ascii="Calibri" w:hAnsi="Calibri" w:eastAsiaTheme="minorEastAsia" w:cstheme="minorBidi"/>
      <w:sz w:val="21"/>
      <w:szCs w:val="21"/>
    </w:rPr>
  </w:style>
  <w:style w:type="character" w:customStyle="1" w:styleId="177">
    <w:name w:val="标书正文 Char"/>
    <w:link w:val="178"/>
    <w:qFormat/>
    <w:locked/>
    <w:uiPriority w:val="0"/>
    <w:rPr>
      <w:rFonts w:ascii="宋体" w:hAnsi="宋体"/>
      <w:kern w:val="2"/>
      <w:sz w:val="24"/>
      <w:szCs w:val="24"/>
    </w:rPr>
  </w:style>
  <w:style w:type="paragraph" w:customStyle="1" w:styleId="178">
    <w:name w:val="标书正文"/>
    <w:basedOn w:val="40"/>
    <w:link w:val="177"/>
    <w:qFormat/>
    <w:uiPriority w:val="0"/>
    <w:pPr>
      <w:spacing w:after="0"/>
      <w:ind w:firstLine="200" w:firstLineChars="200"/>
    </w:pPr>
  </w:style>
  <w:style w:type="character" w:customStyle="1" w:styleId="179">
    <w:name w:val="日期 Char"/>
    <w:basedOn w:val="47"/>
    <w:link w:val="26"/>
    <w:semiHidden/>
    <w:qFormat/>
    <w:uiPriority w:val="99"/>
    <w:rPr>
      <w:kern w:val="2"/>
      <w:sz w:val="24"/>
      <w:szCs w:val="22"/>
    </w:rPr>
  </w:style>
  <w:style w:type="paragraph" w:customStyle="1" w:styleId="180">
    <w:name w:val="正文文本1"/>
    <w:basedOn w:val="1"/>
    <w:qFormat/>
    <w:uiPriority w:val="0"/>
    <w:pPr>
      <w:spacing w:line="240" w:lineRule="auto"/>
      <w:ind w:firstLine="200" w:firstLineChars="200"/>
      <w:jc w:val="left"/>
    </w:pPr>
    <w:rPr>
      <w:rFonts w:ascii="Times New Roman" w:hAnsi="Times New Roman"/>
      <w:sz w:val="28"/>
      <w:szCs w:val="24"/>
    </w:rPr>
  </w:style>
  <w:style w:type="character" w:customStyle="1" w:styleId="181">
    <w:name w:val="_正文 Char Char"/>
    <w:link w:val="182"/>
    <w:qFormat/>
    <w:uiPriority w:val="0"/>
    <w:rPr>
      <w:szCs w:val="24"/>
    </w:rPr>
  </w:style>
  <w:style w:type="paragraph" w:customStyle="1" w:styleId="182">
    <w:name w:val="_正文"/>
    <w:basedOn w:val="1"/>
    <w:link w:val="181"/>
    <w:qFormat/>
    <w:uiPriority w:val="0"/>
    <w:rPr>
      <w:kern w:val="0"/>
      <w:sz w:val="20"/>
      <w:szCs w:val="24"/>
    </w:rPr>
  </w:style>
  <w:style w:type="character" w:customStyle="1" w:styleId="183">
    <w:name w:val="未处理的提及41"/>
    <w:basedOn w:val="47"/>
    <w:semiHidden/>
    <w:unhideWhenUsed/>
    <w:qFormat/>
    <w:uiPriority w:val="99"/>
    <w:rPr>
      <w:color w:val="605E5C"/>
      <w:shd w:val="clear" w:color="auto" w:fill="E1DFDD"/>
    </w:rPr>
  </w:style>
  <w:style w:type="paragraph" w:customStyle="1" w:styleId="184">
    <w:name w:val="_Style 1"/>
    <w:basedOn w:val="1"/>
    <w:qFormat/>
    <w:uiPriority w:val="0"/>
    <w:pPr>
      <w:widowControl/>
      <w:spacing w:line="240" w:lineRule="auto"/>
      <w:ind w:firstLine="420" w:firstLineChars="200"/>
      <w:jc w:val="left"/>
    </w:pPr>
    <w:rPr>
      <w:rFonts w:ascii="宋体" w:hAnsi="宋体"/>
      <w:kern w:val="0"/>
      <w:szCs w:val="24"/>
    </w:rPr>
  </w:style>
  <w:style w:type="character" w:customStyle="1" w:styleId="185">
    <w:name w:val="正文xy Char"/>
    <w:basedOn w:val="47"/>
    <w:link w:val="186"/>
    <w:qFormat/>
    <w:locked/>
    <w:uiPriority w:val="0"/>
    <w:rPr>
      <w:kern w:val="2"/>
      <w:sz w:val="24"/>
      <w:szCs w:val="24"/>
    </w:rPr>
  </w:style>
  <w:style w:type="paragraph" w:customStyle="1" w:styleId="186">
    <w:name w:val="正文xy"/>
    <w:basedOn w:val="1"/>
    <w:link w:val="185"/>
    <w:qFormat/>
    <w:uiPriority w:val="0"/>
    <w:pPr>
      <w:snapToGrid w:val="0"/>
      <w:ind w:firstLine="200" w:firstLineChars="200"/>
    </w:pPr>
    <w:rPr>
      <w:szCs w:val="24"/>
    </w:rPr>
  </w:style>
  <w:style w:type="character" w:customStyle="1" w:styleId="187">
    <w:name w:val="样式 小四"/>
    <w:qFormat/>
    <w:uiPriority w:val="0"/>
    <w:rPr>
      <w:rFonts w:ascii="Arial" w:hAnsi="Arial" w:eastAsia="宋体"/>
      <w:sz w:val="24"/>
      <w:szCs w:val="24"/>
    </w:rPr>
  </w:style>
  <w:style w:type="paragraph" w:customStyle="1" w:styleId="188">
    <w:name w:val="标准正文样式"/>
    <w:basedOn w:val="1"/>
    <w:qFormat/>
    <w:uiPriority w:val="0"/>
    <w:pPr>
      <w:ind w:firstLine="200" w:firstLineChars="200"/>
    </w:pPr>
    <w:rPr>
      <w:rFonts w:ascii="宋体" w:hAnsi="宋体"/>
      <w:szCs w:val="20"/>
    </w:rPr>
  </w:style>
  <w:style w:type="paragraph" w:customStyle="1" w:styleId="189">
    <w:name w:val="正文应用"/>
    <w:basedOn w:val="1"/>
    <w:qFormat/>
    <w:uiPriority w:val="0"/>
    <w:pPr>
      <w:ind w:firstLine="480" w:firstLineChars="200"/>
      <w:jc w:val="left"/>
    </w:pPr>
    <w:rPr>
      <w:rFonts w:ascii="宋体" w:hAnsi="宋体"/>
      <w:bCs/>
      <w:szCs w:val="24"/>
    </w:rPr>
  </w:style>
  <w:style w:type="character" w:customStyle="1" w:styleId="190">
    <w:name w:val="正文缩进 Char"/>
    <w:link w:val="14"/>
    <w:qFormat/>
    <w:locked/>
    <w:uiPriority w:val="0"/>
    <w:rPr>
      <w:kern w:val="2"/>
      <w:sz w:val="24"/>
      <w:szCs w:val="22"/>
    </w:rPr>
  </w:style>
  <w:style w:type="paragraph" w:customStyle="1" w:styleId="191">
    <w:name w:val="_Style 189"/>
    <w:basedOn w:val="1"/>
    <w:next w:val="70"/>
    <w:link w:val="194"/>
    <w:qFormat/>
    <w:uiPriority w:val="34"/>
    <w:pPr>
      <w:ind w:firstLine="420" w:firstLineChars="200"/>
    </w:pPr>
    <w:rPr>
      <w:rFonts w:ascii="宋体" w:hAnsi="宋体"/>
      <w:szCs w:val="24"/>
    </w:rPr>
  </w:style>
  <w:style w:type="character" w:customStyle="1" w:styleId="192">
    <w:name w:val="正文首行缩进 字符"/>
    <w:qFormat/>
    <w:uiPriority w:val="99"/>
    <w:rPr>
      <w:rFonts w:ascii="Calibri" w:hAnsi="Calibri" w:eastAsia="微软雅黑"/>
      <w:kern w:val="2"/>
      <w:sz w:val="24"/>
      <w:szCs w:val="24"/>
    </w:rPr>
  </w:style>
  <w:style w:type="character" w:customStyle="1" w:styleId="193">
    <w:name w:val="正文文本 Char1"/>
    <w:semiHidden/>
    <w:qFormat/>
    <w:uiPriority w:val="0"/>
    <w:rPr>
      <w:rFonts w:ascii="宋体" w:hAnsi="宋体"/>
      <w:kern w:val="2"/>
      <w:sz w:val="24"/>
      <w:szCs w:val="24"/>
    </w:rPr>
  </w:style>
  <w:style w:type="character" w:customStyle="1" w:styleId="194">
    <w:name w:val="列出段落 字符"/>
    <w:link w:val="191"/>
    <w:qFormat/>
    <w:uiPriority w:val="34"/>
    <w:rPr>
      <w:rFonts w:ascii="宋体" w:hAnsi="宋体"/>
      <w:kern w:val="2"/>
      <w:sz w:val="24"/>
      <w:szCs w:val="24"/>
    </w:rPr>
  </w:style>
  <w:style w:type="paragraph" w:customStyle="1" w:styleId="195">
    <w:name w:val="HS   正文"/>
    <w:link w:val="207"/>
    <w:qFormat/>
    <w:locked/>
    <w:uiPriority w:val="0"/>
    <w:pPr>
      <w:widowControl w:val="0"/>
      <w:snapToGrid w:val="0"/>
      <w:spacing w:before="156" w:beforeLines="50" w:after="156" w:afterLines="50" w:line="360" w:lineRule="auto"/>
      <w:ind w:firstLine="480" w:firstLineChars="200"/>
      <w:contextualSpacing/>
      <w:jc w:val="both"/>
    </w:pPr>
    <w:rPr>
      <w:rFonts w:ascii="宋体" w:hAnsi="宋体" w:eastAsia="宋体" w:cs="宋体"/>
      <w:kern w:val="2"/>
      <w:sz w:val="24"/>
      <w:szCs w:val="21"/>
      <w:lang w:val="en-US" w:eastAsia="zh-CN" w:bidi="ar-SA"/>
    </w:rPr>
  </w:style>
  <w:style w:type="paragraph" w:customStyle="1" w:styleId="196">
    <w:name w:val="标题正文"/>
    <w:basedOn w:val="1"/>
    <w:next w:val="1"/>
    <w:qFormat/>
    <w:uiPriority w:val="0"/>
    <w:pPr>
      <w:widowControl/>
      <w:numPr>
        <w:ilvl w:val="0"/>
        <w:numId w:val="8"/>
      </w:numPr>
      <w:tabs>
        <w:tab w:val="left" w:pos="420"/>
      </w:tabs>
      <w:spacing w:after="50" w:afterLines="50" w:line="240" w:lineRule="auto"/>
      <w:jc w:val="left"/>
    </w:pPr>
    <w:rPr>
      <w:rFonts w:ascii="Book Antiqua" w:hAnsi="Book Antiqua"/>
      <w:b/>
      <w:sz w:val="21"/>
      <w:szCs w:val="21"/>
    </w:rPr>
  </w:style>
  <w:style w:type="paragraph" w:customStyle="1" w:styleId="197">
    <w:name w:val="style3"/>
    <w:basedOn w:val="1"/>
    <w:qFormat/>
    <w:uiPriority w:val="0"/>
    <w:pPr>
      <w:widowControl/>
      <w:spacing w:before="100" w:beforeAutospacing="1" w:after="100" w:afterAutospacing="1"/>
      <w:ind w:firstLine="200" w:firstLineChars="200"/>
      <w:jc w:val="left"/>
    </w:pPr>
    <w:rPr>
      <w:rFonts w:ascii="宋体" w:hAnsi="宋体"/>
      <w:color w:val="666666"/>
      <w:kern w:val="0"/>
      <w:szCs w:val="24"/>
    </w:rPr>
  </w:style>
  <w:style w:type="character" w:customStyle="1" w:styleId="198">
    <w:name w:val="正文文本 + Times New Roman12"/>
    <w:qFormat/>
    <w:uiPriority w:val="99"/>
    <w:rPr>
      <w:rFonts w:hint="default" w:ascii="Times New Roman" w:hAnsi="Times New Roman" w:eastAsia="MingLiU" w:cs="Times New Roman"/>
      <w:sz w:val="21"/>
      <w:u w:val="none"/>
      <w:lang w:val="en-US" w:eastAsia="en-US"/>
    </w:rPr>
  </w:style>
  <w:style w:type="paragraph" w:customStyle="1" w:styleId="199">
    <w:name w:val="样式 样式 正文首行缩进 2 + 首行缩进:  2 字符 + 首行缩进:  2 字符"/>
    <w:basedOn w:val="1"/>
    <w:qFormat/>
    <w:uiPriority w:val="0"/>
    <w:pPr>
      <w:ind w:firstLine="480" w:firstLineChars="200"/>
    </w:pPr>
    <w:rPr>
      <w:rFonts w:ascii="宋体" w:hAnsi="宋体"/>
      <w:szCs w:val="20"/>
    </w:rPr>
  </w:style>
  <w:style w:type="paragraph" w:customStyle="1" w:styleId="200">
    <w:name w:val="yh标题5"/>
    <w:basedOn w:val="7"/>
    <w:qFormat/>
    <w:uiPriority w:val="0"/>
    <w:pPr>
      <w:numPr>
        <w:ilvl w:val="0"/>
        <w:numId w:val="0"/>
      </w:numPr>
      <w:tabs>
        <w:tab w:val="left" w:pos="0"/>
        <w:tab w:val="left" w:pos="1008"/>
      </w:tabs>
      <w:spacing w:line="377" w:lineRule="auto"/>
      <w:ind w:left="2551" w:right="100" w:rightChars="100" w:hanging="850"/>
    </w:pPr>
    <w:rPr>
      <w:rFonts w:ascii="宋体" w:hAnsi="宋体"/>
      <w:sz w:val="24"/>
    </w:rPr>
  </w:style>
  <w:style w:type="paragraph" w:customStyle="1" w:styleId="201">
    <w:name w:val="创联正文"/>
    <w:basedOn w:val="1"/>
    <w:qFormat/>
    <w:uiPriority w:val="0"/>
    <w:pPr>
      <w:ind w:firstLine="200" w:firstLineChars="200"/>
    </w:pPr>
    <w:rPr>
      <w:rFonts w:ascii="宋体" w:hAnsi="宋体"/>
      <w:szCs w:val="24"/>
    </w:rPr>
  </w:style>
  <w:style w:type="character" w:customStyle="1" w:styleId="202">
    <w:name w:val="b1"/>
    <w:qFormat/>
    <w:uiPriority w:val="0"/>
    <w:rPr>
      <w:rFonts w:eastAsia="宋体"/>
      <w:kern w:val="2"/>
      <w:sz w:val="24"/>
      <w:szCs w:val="24"/>
      <w:lang w:val="en-US" w:eastAsia="zh-CN" w:bidi="ar-SA"/>
    </w:rPr>
  </w:style>
  <w:style w:type="paragraph" w:customStyle="1" w:styleId="203">
    <w:name w:val="xl34"/>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jc w:val="center"/>
    </w:pPr>
    <w:rPr>
      <w:rFonts w:ascii="宋体" w:hAnsi="宋体" w:cs="宋体"/>
      <w:b/>
      <w:bCs/>
      <w:color w:val="000000"/>
      <w:kern w:val="0"/>
      <w:sz w:val="18"/>
      <w:szCs w:val="18"/>
    </w:rPr>
  </w:style>
  <w:style w:type="character" w:customStyle="1" w:styleId="204">
    <w:name w:val="font31"/>
    <w:basedOn w:val="47"/>
    <w:qFormat/>
    <w:uiPriority w:val="0"/>
    <w:rPr>
      <w:rFonts w:hint="eastAsia" w:ascii="宋体" w:hAnsi="宋体" w:eastAsia="宋体" w:cs="宋体"/>
      <w:color w:val="000000"/>
      <w:sz w:val="24"/>
      <w:szCs w:val="24"/>
      <w:u w:val="none"/>
    </w:rPr>
  </w:style>
  <w:style w:type="character" w:customStyle="1" w:styleId="205">
    <w:name w:val="font81"/>
    <w:basedOn w:val="47"/>
    <w:qFormat/>
    <w:uiPriority w:val="0"/>
    <w:rPr>
      <w:rFonts w:hint="default" w:ascii="Times New Roman" w:hAnsi="Times New Roman" w:cs="Times New Roman"/>
      <w:color w:val="000000"/>
      <w:sz w:val="14"/>
      <w:szCs w:val="14"/>
      <w:u w:val="none"/>
    </w:rPr>
  </w:style>
  <w:style w:type="paragraph" w:customStyle="1" w:styleId="206">
    <w:name w:val="my正文"/>
    <w:basedOn w:val="1"/>
    <w:link w:val="258"/>
    <w:qFormat/>
    <w:uiPriority w:val="0"/>
    <w:pPr>
      <w:ind w:firstLine="200" w:firstLineChars="200"/>
    </w:pPr>
    <w:rPr>
      <w:rFonts w:ascii="Times New Roman" w:hAnsi="Times New Roman"/>
      <w:szCs w:val="24"/>
    </w:rPr>
  </w:style>
  <w:style w:type="character" w:customStyle="1" w:styleId="207">
    <w:name w:val="HS   正文 字符"/>
    <w:basedOn w:val="47"/>
    <w:link w:val="195"/>
    <w:qFormat/>
    <w:locked/>
    <w:uiPriority w:val="0"/>
    <w:rPr>
      <w:rFonts w:ascii="宋体" w:hAnsi="宋体" w:cs="宋体"/>
      <w:kern w:val="2"/>
      <w:sz w:val="24"/>
      <w:szCs w:val="21"/>
    </w:rPr>
  </w:style>
  <w:style w:type="character" w:customStyle="1" w:styleId="208">
    <w:name w:val="列表段落 字符1"/>
    <w:qFormat/>
    <w:uiPriority w:val="34"/>
    <w:rPr>
      <w:rFonts w:eastAsia="仿宋" w:cs="Times New Roman"/>
      <w:kern w:val="2"/>
      <w:sz w:val="28"/>
      <w:szCs w:val="22"/>
    </w:rPr>
  </w:style>
  <w:style w:type="paragraph" w:customStyle="1" w:styleId="209">
    <w:name w:val="正文格式"/>
    <w:basedOn w:val="1"/>
    <w:qFormat/>
    <w:uiPriority w:val="0"/>
    <w:pPr>
      <w:widowControl/>
      <w:adjustRightInd w:val="0"/>
      <w:snapToGrid w:val="0"/>
      <w:spacing w:line="400" w:lineRule="atLeast"/>
      <w:ind w:firstLine="482"/>
      <w:textAlignment w:val="baseline"/>
    </w:pPr>
    <w:rPr>
      <w:rFonts w:ascii="Times New Roman" w:hAnsi="Times New Roman"/>
      <w:kern w:val="0"/>
      <w:szCs w:val="24"/>
    </w:rPr>
  </w:style>
  <w:style w:type="character" w:customStyle="1" w:styleId="210">
    <w:name w:val="正文首行缩进 2 Char"/>
    <w:qFormat/>
    <w:uiPriority w:val="0"/>
    <w:rPr>
      <w:rFonts w:eastAsia="Times New Roman"/>
      <w:szCs w:val="24"/>
      <w:lang w:val="en-US" w:eastAsia="zh-CN"/>
    </w:rPr>
  </w:style>
  <w:style w:type="paragraph" w:customStyle="1" w:styleId="211">
    <w:name w:val="列出段落3"/>
    <w:basedOn w:val="1"/>
    <w:qFormat/>
    <w:uiPriority w:val="0"/>
    <w:pPr>
      <w:spacing w:line="240" w:lineRule="auto"/>
      <w:ind w:firstLine="420" w:firstLineChars="200"/>
    </w:pPr>
    <w:rPr>
      <w:rFonts w:ascii="Times New Roman" w:hAnsi="Times New Roman"/>
      <w:sz w:val="21"/>
      <w:szCs w:val="21"/>
    </w:rPr>
  </w:style>
  <w:style w:type="paragraph" w:customStyle="1" w:styleId="212">
    <w:name w:val="TOC 标题2"/>
    <w:basedOn w:val="2"/>
    <w:next w:val="1"/>
    <w:unhideWhenUsed/>
    <w:qFormat/>
    <w:uiPriority w:val="39"/>
    <w:pPr>
      <w:numPr>
        <w:numId w:val="0"/>
      </w:numPr>
      <w:spacing w:before="340" w:after="330"/>
      <w:outlineLvl w:val="9"/>
    </w:pPr>
  </w:style>
  <w:style w:type="character" w:customStyle="1" w:styleId="213">
    <w:name w:val="书籍标题2"/>
    <w:qFormat/>
    <w:uiPriority w:val="33"/>
    <w:rPr>
      <w:b/>
      <w:bCs/>
      <w:i/>
      <w:iCs/>
      <w:spacing w:val="5"/>
    </w:rPr>
  </w:style>
  <w:style w:type="paragraph" w:customStyle="1" w:styleId="214">
    <w:name w:val="修订5"/>
    <w:semiHidden/>
    <w:qFormat/>
    <w:uiPriority w:val="99"/>
    <w:rPr>
      <w:rFonts w:ascii="宋体" w:hAnsi="宋体" w:eastAsia="宋体" w:cs="Times New Roman"/>
      <w:kern w:val="2"/>
      <w:sz w:val="24"/>
      <w:szCs w:val="24"/>
      <w:lang w:val="en-US" w:eastAsia="zh-CN" w:bidi="ar-SA"/>
    </w:rPr>
  </w:style>
  <w:style w:type="character" w:customStyle="1" w:styleId="215">
    <w:name w:val="未处理的提及5"/>
    <w:basedOn w:val="47"/>
    <w:semiHidden/>
    <w:unhideWhenUsed/>
    <w:qFormat/>
    <w:uiPriority w:val="99"/>
    <w:rPr>
      <w:color w:val="605E5C"/>
      <w:shd w:val="clear" w:color="auto" w:fill="E1DFDD"/>
    </w:rPr>
  </w:style>
  <w:style w:type="paragraph" w:customStyle="1" w:styleId="216">
    <w:name w:val="font5"/>
    <w:basedOn w:val="1"/>
    <w:qFormat/>
    <w:uiPriority w:val="0"/>
    <w:pPr>
      <w:widowControl/>
      <w:spacing w:before="100" w:beforeAutospacing="1" w:after="100" w:afterAutospacing="1" w:line="240" w:lineRule="auto"/>
      <w:jc w:val="left"/>
    </w:pPr>
    <w:rPr>
      <w:rFonts w:ascii="等线" w:hAnsi="等线" w:eastAsia="等线" w:cs="宋体"/>
      <w:kern w:val="0"/>
      <w:sz w:val="18"/>
      <w:szCs w:val="18"/>
    </w:rPr>
  </w:style>
  <w:style w:type="paragraph" w:customStyle="1" w:styleId="217">
    <w:name w:val="font6"/>
    <w:basedOn w:val="1"/>
    <w:qFormat/>
    <w:uiPriority w:val="0"/>
    <w:pPr>
      <w:widowControl/>
      <w:spacing w:before="100" w:beforeAutospacing="1" w:after="100" w:afterAutospacing="1" w:line="240" w:lineRule="auto"/>
      <w:jc w:val="left"/>
    </w:pPr>
    <w:rPr>
      <w:rFonts w:ascii="宋体" w:hAnsi="宋体" w:cs="宋体"/>
      <w:kern w:val="0"/>
      <w:sz w:val="18"/>
      <w:szCs w:val="18"/>
    </w:rPr>
  </w:style>
  <w:style w:type="paragraph" w:customStyle="1" w:styleId="218">
    <w:name w:val="xl65"/>
    <w:basedOn w:val="1"/>
    <w:qFormat/>
    <w:uiPriority w:val="0"/>
    <w:pPr>
      <w:widowControl/>
      <w:pBdr>
        <w:top w:val="single" w:color="auto" w:sz="4" w:space="0"/>
        <w:left w:val="single" w:color="auto" w:sz="4" w:space="0"/>
        <w:bottom w:val="single" w:color="auto" w:sz="4" w:space="0"/>
        <w:right w:val="single" w:color="auto" w:sz="4" w:space="0"/>
      </w:pBdr>
      <w:shd w:val="clear" w:color="000000" w:fill="2F5496"/>
      <w:spacing w:before="100" w:beforeAutospacing="1" w:after="100" w:afterAutospacing="1" w:line="240" w:lineRule="auto"/>
      <w:jc w:val="center"/>
      <w:textAlignment w:val="center"/>
    </w:pPr>
    <w:rPr>
      <w:rFonts w:ascii="宋体" w:hAnsi="宋体" w:cs="宋体"/>
      <w:color w:val="FFFFFF"/>
      <w:kern w:val="0"/>
      <w:szCs w:val="24"/>
    </w:rPr>
  </w:style>
  <w:style w:type="paragraph" w:customStyle="1" w:styleId="219">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color w:val="000000"/>
      <w:kern w:val="0"/>
      <w:szCs w:val="24"/>
    </w:rPr>
  </w:style>
  <w:style w:type="paragraph" w:customStyle="1" w:styleId="220">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宋体" w:hAnsi="宋体" w:cs="宋体"/>
      <w:color w:val="000000"/>
      <w:kern w:val="0"/>
      <w:szCs w:val="24"/>
    </w:rPr>
  </w:style>
  <w:style w:type="paragraph" w:customStyle="1" w:styleId="221">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22">
    <w:name w:val="xl69"/>
    <w:basedOn w:val="1"/>
    <w:qFormat/>
    <w:uiPriority w:val="0"/>
    <w:pPr>
      <w:widowControl/>
      <w:pBdr>
        <w:top w:val="single" w:color="auto" w:sz="4" w:space="0"/>
        <w:left w:val="single" w:color="auto" w:sz="4" w:space="0"/>
        <w:bottom w:val="single" w:color="auto" w:sz="4" w:space="0"/>
        <w:right w:val="single" w:color="auto" w:sz="4" w:space="0"/>
      </w:pBdr>
      <w:shd w:val="clear" w:color="000000" w:fill="2F5496"/>
      <w:spacing w:before="100" w:beforeAutospacing="1" w:after="100" w:afterAutospacing="1" w:line="240" w:lineRule="auto"/>
      <w:jc w:val="center"/>
      <w:textAlignment w:val="center"/>
    </w:pPr>
    <w:rPr>
      <w:rFonts w:ascii="宋体" w:hAnsi="宋体" w:cs="宋体"/>
      <w:color w:val="FFFFFF"/>
      <w:kern w:val="0"/>
      <w:szCs w:val="24"/>
    </w:rPr>
  </w:style>
  <w:style w:type="paragraph" w:customStyle="1" w:styleId="223">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color w:val="000000"/>
      <w:kern w:val="0"/>
      <w:szCs w:val="24"/>
    </w:rPr>
  </w:style>
  <w:style w:type="paragraph" w:customStyle="1" w:styleId="224">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color w:val="000000"/>
      <w:kern w:val="0"/>
      <w:szCs w:val="24"/>
    </w:rPr>
  </w:style>
  <w:style w:type="paragraph" w:customStyle="1" w:styleId="225">
    <w:name w:val="xl7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宋体" w:hAnsi="宋体" w:cs="宋体"/>
      <w:color w:val="000000"/>
      <w:kern w:val="0"/>
      <w:szCs w:val="24"/>
    </w:rPr>
  </w:style>
  <w:style w:type="paragraph" w:customStyle="1" w:styleId="226">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color w:val="000000"/>
      <w:kern w:val="0"/>
      <w:szCs w:val="24"/>
    </w:rPr>
  </w:style>
  <w:style w:type="paragraph" w:customStyle="1" w:styleId="227">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28">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color w:val="FF0000"/>
      <w:kern w:val="0"/>
      <w:szCs w:val="24"/>
    </w:rPr>
  </w:style>
  <w:style w:type="paragraph" w:customStyle="1" w:styleId="229">
    <w:name w:val="xl7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宋体" w:hAnsi="宋体" w:cs="宋体"/>
      <w:color w:val="000000"/>
      <w:kern w:val="0"/>
      <w:szCs w:val="24"/>
    </w:rPr>
  </w:style>
  <w:style w:type="paragraph" w:customStyle="1" w:styleId="230">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31">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宋体" w:hAnsi="宋体" w:cs="宋体"/>
      <w:kern w:val="0"/>
      <w:szCs w:val="24"/>
    </w:rPr>
  </w:style>
  <w:style w:type="paragraph" w:customStyle="1" w:styleId="232">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33">
    <w:name w:val="xl80"/>
    <w:basedOn w:val="1"/>
    <w:qFormat/>
    <w:uiPriority w:val="0"/>
    <w:pPr>
      <w:widowControl/>
      <w:pBdr>
        <w:left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34">
    <w:name w:val="xl81"/>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jc w:val="center"/>
      <w:textAlignment w:val="center"/>
    </w:pPr>
    <w:rPr>
      <w:rFonts w:ascii="宋体" w:hAnsi="宋体" w:cs="宋体"/>
      <w:color w:val="000000"/>
      <w:kern w:val="0"/>
      <w:szCs w:val="24"/>
    </w:rPr>
  </w:style>
  <w:style w:type="paragraph" w:customStyle="1" w:styleId="235">
    <w:name w:val="xl82"/>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36">
    <w:name w:val="xl83"/>
    <w:basedOn w:val="1"/>
    <w:qFormat/>
    <w:uiPriority w:val="0"/>
    <w:pPr>
      <w:widowControl/>
      <w:pBdr>
        <w:top w:val="single" w:color="auto" w:sz="4" w:space="0"/>
        <w:lef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37">
    <w:name w:val="xl84"/>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38">
    <w:name w:val="xl85"/>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39">
    <w:name w:val="xl86"/>
    <w:basedOn w:val="1"/>
    <w:qFormat/>
    <w:uiPriority w:val="0"/>
    <w:pPr>
      <w:widowControl/>
      <w:pBdr>
        <w:left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40">
    <w:name w:val="xl87"/>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41">
    <w:name w:val="xl88"/>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42">
    <w:name w:val="xl89"/>
    <w:basedOn w:val="1"/>
    <w:qFormat/>
    <w:uiPriority w:val="0"/>
    <w:pPr>
      <w:widowControl/>
      <w:pBdr>
        <w:left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43">
    <w:name w:val="xl90"/>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44">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45">
    <w:name w:val="xl92"/>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46">
    <w:name w:val="xl93"/>
    <w:basedOn w:val="1"/>
    <w:qFormat/>
    <w:uiPriority w:val="0"/>
    <w:pPr>
      <w:widowControl/>
      <w:pBdr>
        <w:left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47">
    <w:name w:val="xl94"/>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48">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color w:val="000000"/>
      <w:kern w:val="0"/>
      <w:szCs w:val="24"/>
    </w:rPr>
  </w:style>
  <w:style w:type="paragraph" w:customStyle="1" w:styleId="249">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50">
    <w:name w:val="xl9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宋体" w:hAnsi="宋体" w:cs="宋体"/>
      <w:color w:val="000000"/>
      <w:kern w:val="0"/>
      <w:szCs w:val="24"/>
    </w:rPr>
  </w:style>
  <w:style w:type="paragraph" w:customStyle="1" w:styleId="251">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305496"/>
      <w:spacing w:before="100" w:beforeAutospacing="1" w:after="100" w:afterAutospacing="1" w:line="240" w:lineRule="auto"/>
      <w:jc w:val="center"/>
      <w:textAlignment w:val="center"/>
    </w:pPr>
    <w:rPr>
      <w:rFonts w:ascii="宋体" w:hAnsi="宋体" w:cs="宋体"/>
      <w:color w:val="FFFFFF"/>
      <w:kern w:val="0"/>
      <w:szCs w:val="24"/>
    </w:rPr>
  </w:style>
  <w:style w:type="paragraph" w:customStyle="1" w:styleId="252">
    <w:name w:val="xl9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53">
    <w:name w:val="xl100"/>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54">
    <w:name w:val="xl101"/>
    <w:basedOn w:val="1"/>
    <w:qFormat/>
    <w:uiPriority w:val="0"/>
    <w:pPr>
      <w:widowControl/>
      <w:pBdr>
        <w:left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55">
    <w:name w:val="xl102"/>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56">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宋体" w:hAnsi="宋体" w:cs="宋体"/>
      <w:kern w:val="0"/>
      <w:szCs w:val="24"/>
    </w:rPr>
  </w:style>
  <w:style w:type="table" w:customStyle="1" w:styleId="257">
    <w:name w:val="Table Normal"/>
    <w:semiHidden/>
    <w:unhideWhenUsed/>
    <w:qFormat/>
    <w:uiPriority w:val="0"/>
    <w:tblPr>
      <w:tblCellMar>
        <w:top w:w="0" w:type="dxa"/>
        <w:left w:w="0" w:type="dxa"/>
        <w:bottom w:w="0" w:type="dxa"/>
        <w:right w:w="0" w:type="dxa"/>
      </w:tblCellMar>
    </w:tblPr>
  </w:style>
  <w:style w:type="character" w:customStyle="1" w:styleId="258">
    <w:name w:val="my正文 Char"/>
    <w:link w:val="206"/>
    <w:qFormat/>
    <w:locked/>
    <w:uiPriority w:val="0"/>
    <w:rPr>
      <w:kern w:val="2"/>
      <w:sz w:val="24"/>
      <w:szCs w:val="24"/>
    </w:rPr>
  </w:style>
  <w:style w:type="paragraph" w:customStyle="1" w:styleId="259">
    <w:name w:val="xl104"/>
    <w:basedOn w:val="1"/>
    <w:qFormat/>
    <w:uiPriority w:val="0"/>
    <w:pPr>
      <w:widowControl/>
      <w:pBdr>
        <w:right w:val="single" w:color="auto" w:sz="4" w:space="0"/>
      </w:pBdr>
      <w:shd w:val="clear" w:color="000000" w:fill="F8CBAD"/>
      <w:spacing w:before="100" w:beforeAutospacing="1" w:after="100" w:afterAutospacing="1" w:line="240" w:lineRule="auto"/>
      <w:jc w:val="center"/>
    </w:pPr>
    <w:rPr>
      <w:rFonts w:ascii="宋体" w:hAnsi="宋体" w:cs="宋体"/>
      <w:kern w:val="0"/>
      <w:szCs w:val="24"/>
    </w:rPr>
  </w:style>
  <w:style w:type="paragraph" w:customStyle="1" w:styleId="260">
    <w:name w:val="xl105"/>
    <w:basedOn w:val="1"/>
    <w:qFormat/>
    <w:uiPriority w:val="0"/>
    <w:pPr>
      <w:widowControl/>
      <w:pBdr>
        <w:bottom w:val="single" w:color="auto" w:sz="4" w:space="0"/>
        <w:right w:val="single" w:color="auto" w:sz="4" w:space="0"/>
      </w:pBdr>
      <w:shd w:val="clear" w:color="000000" w:fill="F8CBAD"/>
      <w:spacing w:before="100" w:beforeAutospacing="1" w:after="100" w:afterAutospacing="1" w:line="240" w:lineRule="auto"/>
      <w:jc w:val="center"/>
    </w:pPr>
    <w:rPr>
      <w:rFonts w:ascii="宋体" w:hAnsi="宋体" w:cs="宋体"/>
      <w:kern w:val="0"/>
      <w:szCs w:val="24"/>
    </w:rPr>
  </w:style>
  <w:style w:type="paragraph" w:customStyle="1" w:styleId="261">
    <w:name w:val="xl106"/>
    <w:basedOn w:val="1"/>
    <w:qFormat/>
    <w:uiPriority w:val="0"/>
    <w:pPr>
      <w:widowControl/>
      <w:pBdr>
        <w:top w:val="single" w:color="auto" w:sz="4" w:space="0"/>
        <w:bottom w:val="single" w:color="auto" w:sz="4" w:space="0"/>
        <w:right w:val="single" w:color="auto" w:sz="4" w:space="0"/>
      </w:pBdr>
      <w:shd w:val="clear" w:color="000000" w:fill="F8CBAD"/>
      <w:spacing w:before="100" w:beforeAutospacing="1" w:after="100" w:afterAutospacing="1" w:line="240" w:lineRule="auto"/>
      <w:jc w:val="center"/>
    </w:pPr>
    <w:rPr>
      <w:rFonts w:ascii="宋体" w:hAnsi="宋体" w:cs="宋体"/>
      <w:kern w:val="0"/>
      <w:szCs w:val="24"/>
    </w:rPr>
  </w:style>
  <w:style w:type="paragraph" w:customStyle="1" w:styleId="262">
    <w:name w:val="xl107"/>
    <w:basedOn w:val="1"/>
    <w:qFormat/>
    <w:uiPriority w:val="0"/>
    <w:pPr>
      <w:widowControl/>
      <w:pBdr>
        <w:top w:val="single" w:color="auto" w:sz="4" w:space="0"/>
        <w:left w:val="single" w:color="auto" w:sz="4" w:space="0"/>
        <w:bottom w:val="single" w:color="auto" w:sz="4" w:space="0"/>
        <w:right w:val="single" w:color="auto" w:sz="4" w:space="0"/>
      </w:pBdr>
      <w:shd w:val="clear" w:color="000000" w:fill="F8CBAD"/>
      <w:spacing w:before="100" w:beforeAutospacing="1" w:after="100" w:afterAutospacing="1" w:line="240" w:lineRule="auto"/>
      <w:jc w:val="center"/>
    </w:pPr>
    <w:rPr>
      <w:rFonts w:ascii="宋体" w:hAnsi="宋体" w:cs="宋体"/>
      <w:kern w:val="0"/>
      <w:szCs w:val="24"/>
    </w:rPr>
  </w:style>
  <w:style w:type="paragraph" w:customStyle="1" w:styleId="263">
    <w:name w:val="xl108"/>
    <w:basedOn w:val="1"/>
    <w:qFormat/>
    <w:uiPriority w:val="0"/>
    <w:pPr>
      <w:widowControl/>
      <w:pBdr>
        <w:top w:val="single" w:color="auto" w:sz="4" w:space="0"/>
        <w:left w:val="single" w:color="auto" w:sz="4" w:space="0"/>
        <w:right w:val="single" w:color="auto" w:sz="4" w:space="0"/>
      </w:pBdr>
      <w:shd w:val="clear" w:color="000000" w:fill="F8CBAD"/>
      <w:spacing w:before="100" w:beforeAutospacing="1" w:after="100" w:afterAutospacing="1" w:line="240" w:lineRule="auto"/>
      <w:jc w:val="center"/>
    </w:pPr>
    <w:rPr>
      <w:rFonts w:ascii="宋体" w:hAnsi="宋体" w:cs="宋体"/>
      <w:kern w:val="0"/>
      <w:szCs w:val="24"/>
    </w:rPr>
  </w:style>
  <w:style w:type="paragraph" w:customStyle="1" w:styleId="264">
    <w:name w:val="xl109"/>
    <w:basedOn w:val="1"/>
    <w:qFormat/>
    <w:uiPriority w:val="0"/>
    <w:pPr>
      <w:widowControl/>
      <w:pBdr>
        <w:left w:val="single" w:color="auto" w:sz="4" w:space="0"/>
        <w:right w:val="single" w:color="auto" w:sz="4" w:space="0"/>
      </w:pBdr>
      <w:shd w:val="clear" w:color="000000" w:fill="F8CBAD"/>
      <w:spacing w:before="100" w:beforeAutospacing="1" w:after="100" w:afterAutospacing="1" w:line="240" w:lineRule="auto"/>
      <w:jc w:val="center"/>
    </w:pPr>
    <w:rPr>
      <w:rFonts w:ascii="宋体" w:hAnsi="宋体" w:cs="宋体"/>
      <w:kern w:val="0"/>
      <w:szCs w:val="24"/>
    </w:rPr>
  </w:style>
  <w:style w:type="paragraph" w:customStyle="1" w:styleId="265">
    <w:name w:val="xl110"/>
    <w:basedOn w:val="1"/>
    <w:qFormat/>
    <w:uiPriority w:val="0"/>
    <w:pPr>
      <w:widowControl/>
      <w:pBdr>
        <w:left w:val="single" w:color="auto" w:sz="4" w:space="0"/>
        <w:bottom w:val="single" w:color="auto" w:sz="4" w:space="0"/>
        <w:right w:val="single" w:color="auto" w:sz="4" w:space="0"/>
      </w:pBdr>
      <w:shd w:val="clear" w:color="000000" w:fill="F8CBAD"/>
      <w:spacing w:before="100" w:beforeAutospacing="1" w:after="100" w:afterAutospacing="1" w:line="240" w:lineRule="auto"/>
      <w:jc w:val="center"/>
    </w:pPr>
    <w:rPr>
      <w:rFonts w:ascii="宋体" w:hAnsi="宋体" w:cs="宋体"/>
      <w:kern w:val="0"/>
      <w:szCs w:val="24"/>
    </w:rPr>
  </w:style>
  <w:style w:type="paragraph" w:customStyle="1" w:styleId="266">
    <w:name w:val="xl111"/>
    <w:basedOn w:val="1"/>
    <w:qFormat/>
    <w:uiPriority w:val="0"/>
    <w:pPr>
      <w:widowControl/>
      <w:pBdr>
        <w:right w:val="single" w:color="auto" w:sz="4" w:space="0"/>
      </w:pBdr>
      <w:shd w:val="clear" w:color="000000" w:fill="F8CBAD"/>
      <w:spacing w:before="100" w:beforeAutospacing="1" w:after="100" w:afterAutospacing="1" w:line="240" w:lineRule="auto"/>
      <w:jc w:val="center"/>
    </w:pPr>
    <w:rPr>
      <w:rFonts w:ascii="宋体" w:hAnsi="宋体" w:cs="宋体"/>
      <w:b/>
      <w:bCs/>
      <w:kern w:val="0"/>
      <w:szCs w:val="24"/>
    </w:rPr>
  </w:style>
  <w:style w:type="paragraph" w:customStyle="1" w:styleId="267">
    <w:name w:val="xl112"/>
    <w:basedOn w:val="1"/>
    <w:qFormat/>
    <w:uiPriority w:val="0"/>
    <w:pPr>
      <w:widowControl/>
      <w:pBdr>
        <w:bottom w:val="single" w:color="auto" w:sz="4" w:space="0"/>
        <w:right w:val="single" w:color="auto" w:sz="4" w:space="0"/>
      </w:pBdr>
      <w:shd w:val="clear" w:color="000000" w:fill="F8CBAD"/>
      <w:spacing w:before="100" w:beforeAutospacing="1" w:after="100" w:afterAutospacing="1" w:line="240" w:lineRule="auto"/>
      <w:jc w:val="center"/>
    </w:pPr>
    <w:rPr>
      <w:rFonts w:ascii="宋体" w:hAnsi="宋体" w:cs="宋体"/>
      <w:b/>
      <w:bCs/>
      <w:kern w:val="0"/>
      <w:szCs w:val="24"/>
    </w:rPr>
  </w:style>
  <w:style w:type="paragraph" w:customStyle="1" w:styleId="268">
    <w:name w:val="xl113"/>
    <w:basedOn w:val="1"/>
    <w:qFormat/>
    <w:uiPriority w:val="0"/>
    <w:pPr>
      <w:widowControl/>
      <w:pBdr>
        <w:top w:val="single" w:color="auto" w:sz="4" w:space="0"/>
      </w:pBdr>
      <w:shd w:val="clear" w:color="000000" w:fill="F8CBAD"/>
      <w:spacing w:before="100" w:beforeAutospacing="1" w:after="100" w:afterAutospacing="1" w:line="240" w:lineRule="auto"/>
      <w:jc w:val="center"/>
    </w:pPr>
    <w:rPr>
      <w:rFonts w:ascii="宋体" w:hAnsi="宋体" w:cs="宋体"/>
      <w:b/>
      <w:bCs/>
      <w:kern w:val="0"/>
      <w:szCs w:val="24"/>
    </w:rPr>
  </w:style>
  <w:style w:type="paragraph" w:customStyle="1" w:styleId="269">
    <w:name w:val="xl114"/>
    <w:basedOn w:val="1"/>
    <w:qFormat/>
    <w:uiPriority w:val="0"/>
    <w:pPr>
      <w:widowControl/>
      <w:shd w:val="clear" w:color="000000" w:fill="F8CBAD"/>
      <w:spacing w:before="100" w:beforeAutospacing="1" w:after="100" w:afterAutospacing="1" w:line="240" w:lineRule="auto"/>
      <w:jc w:val="center"/>
    </w:pPr>
    <w:rPr>
      <w:rFonts w:ascii="宋体" w:hAnsi="宋体" w:cs="宋体"/>
      <w:b/>
      <w:bCs/>
      <w:kern w:val="0"/>
      <w:szCs w:val="24"/>
    </w:rPr>
  </w:style>
  <w:style w:type="paragraph" w:customStyle="1" w:styleId="270">
    <w:name w:val="xl115"/>
    <w:basedOn w:val="1"/>
    <w:qFormat/>
    <w:uiPriority w:val="0"/>
    <w:pPr>
      <w:widowControl/>
      <w:pBdr>
        <w:bottom w:val="single" w:color="auto" w:sz="4" w:space="0"/>
      </w:pBdr>
      <w:shd w:val="clear" w:color="000000" w:fill="F8CBAD"/>
      <w:spacing w:before="100" w:beforeAutospacing="1" w:after="100" w:afterAutospacing="1" w:line="240" w:lineRule="auto"/>
      <w:jc w:val="center"/>
    </w:pPr>
    <w:rPr>
      <w:rFonts w:ascii="宋体" w:hAnsi="宋体" w:cs="宋体"/>
      <w:b/>
      <w:bCs/>
      <w:kern w:val="0"/>
      <w:szCs w:val="24"/>
    </w:rPr>
  </w:style>
  <w:style w:type="paragraph" w:customStyle="1" w:styleId="271">
    <w:name w:val="xl116"/>
    <w:basedOn w:val="1"/>
    <w:qFormat/>
    <w:uiPriority w:val="0"/>
    <w:pPr>
      <w:widowControl/>
      <w:pBdr>
        <w:top w:val="single" w:color="auto" w:sz="4" w:space="0"/>
      </w:pBdr>
      <w:shd w:val="clear" w:color="000000" w:fill="F8CBAD"/>
      <w:spacing w:before="100" w:beforeAutospacing="1" w:after="100" w:afterAutospacing="1" w:line="240" w:lineRule="auto"/>
      <w:jc w:val="center"/>
    </w:pPr>
    <w:rPr>
      <w:rFonts w:ascii="宋体" w:hAnsi="宋体" w:cs="宋体"/>
      <w:b/>
      <w:bCs/>
      <w:color w:val="000000"/>
      <w:kern w:val="0"/>
      <w:szCs w:val="24"/>
    </w:rPr>
  </w:style>
  <w:style w:type="paragraph" w:customStyle="1" w:styleId="272">
    <w:name w:val="xl117"/>
    <w:basedOn w:val="1"/>
    <w:qFormat/>
    <w:uiPriority w:val="0"/>
    <w:pPr>
      <w:widowControl/>
      <w:shd w:val="clear" w:color="000000" w:fill="F8CBAD"/>
      <w:spacing w:before="100" w:beforeAutospacing="1" w:after="100" w:afterAutospacing="1" w:line="240" w:lineRule="auto"/>
      <w:jc w:val="center"/>
    </w:pPr>
    <w:rPr>
      <w:rFonts w:ascii="宋体" w:hAnsi="宋体" w:cs="宋体"/>
      <w:b/>
      <w:bCs/>
      <w:color w:val="000000"/>
      <w:kern w:val="0"/>
      <w:szCs w:val="24"/>
    </w:rPr>
  </w:style>
  <w:style w:type="paragraph" w:customStyle="1" w:styleId="273">
    <w:name w:val="xl118"/>
    <w:basedOn w:val="1"/>
    <w:qFormat/>
    <w:uiPriority w:val="0"/>
    <w:pPr>
      <w:widowControl/>
      <w:pBdr>
        <w:top w:val="single" w:color="auto" w:sz="4" w:space="0"/>
      </w:pBdr>
      <w:shd w:val="clear" w:color="000000" w:fill="F8CBAD"/>
      <w:spacing w:before="100" w:beforeAutospacing="1" w:after="100" w:afterAutospacing="1" w:line="240" w:lineRule="auto"/>
      <w:jc w:val="center"/>
    </w:pPr>
    <w:rPr>
      <w:rFonts w:ascii="宋体" w:hAnsi="宋体" w:cs="宋体"/>
      <w:b/>
      <w:bCs/>
      <w:kern w:val="0"/>
      <w:szCs w:val="24"/>
    </w:rPr>
  </w:style>
  <w:style w:type="paragraph" w:customStyle="1" w:styleId="274">
    <w:name w:val="xl119"/>
    <w:basedOn w:val="1"/>
    <w:qFormat/>
    <w:uiPriority w:val="0"/>
    <w:pPr>
      <w:widowControl/>
      <w:pBdr>
        <w:left w:val="single" w:color="auto" w:sz="4" w:space="0"/>
      </w:pBdr>
      <w:shd w:val="clear" w:color="000000" w:fill="F8CBAD"/>
      <w:spacing w:before="100" w:beforeAutospacing="1" w:after="100" w:afterAutospacing="1" w:line="240" w:lineRule="auto"/>
      <w:jc w:val="center"/>
    </w:pPr>
    <w:rPr>
      <w:rFonts w:ascii="宋体" w:hAnsi="宋体" w:cs="宋体"/>
      <w:b/>
      <w:bCs/>
      <w:kern w:val="0"/>
      <w:szCs w:val="24"/>
    </w:rPr>
  </w:style>
  <w:style w:type="paragraph" w:customStyle="1" w:styleId="275">
    <w:name w:val="xl120"/>
    <w:basedOn w:val="1"/>
    <w:qFormat/>
    <w:uiPriority w:val="0"/>
    <w:pPr>
      <w:widowControl/>
      <w:pBdr>
        <w:left w:val="single" w:color="auto" w:sz="4" w:space="0"/>
        <w:bottom w:val="single" w:color="auto" w:sz="4" w:space="0"/>
      </w:pBdr>
      <w:shd w:val="clear" w:color="000000" w:fill="F8CBAD"/>
      <w:spacing w:before="100" w:beforeAutospacing="1" w:after="100" w:afterAutospacing="1" w:line="240" w:lineRule="auto"/>
      <w:jc w:val="center"/>
    </w:pPr>
    <w:rPr>
      <w:rFonts w:ascii="宋体" w:hAnsi="宋体" w:cs="宋体"/>
      <w:b/>
      <w:bCs/>
      <w:kern w:val="0"/>
      <w:szCs w:val="24"/>
    </w:rPr>
  </w:style>
  <w:style w:type="character" w:customStyle="1" w:styleId="276">
    <w:name w:val="标准正文格式 Char Char"/>
    <w:link w:val="277"/>
    <w:qFormat/>
    <w:uiPriority w:val="0"/>
    <w:rPr>
      <w:rFonts w:ascii="宋体"/>
      <w:color w:val="000000"/>
      <w:sz w:val="24"/>
    </w:rPr>
  </w:style>
  <w:style w:type="paragraph" w:customStyle="1" w:styleId="277">
    <w:name w:val="标准正文格式"/>
    <w:basedOn w:val="1"/>
    <w:link w:val="276"/>
    <w:qFormat/>
    <w:uiPriority w:val="0"/>
    <w:pPr>
      <w:widowControl/>
      <w:adjustRightInd w:val="0"/>
      <w:ind w:firstLine="200" w:firstLineChars="200"/>
      <w:textAlignment w:val="baseline"/>
    </w:pPr>
    <w:rPr>
      <w:rFonts w:ascii="宋体" w:hAnsi="Times New Roman"/>
      <w:color w:val="000000"/>
      <w:kern w:val="0"/>
      <w:szCs w:val="20"/>
    </w:rPr>
  </w:style>
  <w:style w:type="character" w:customStyle="1" w:styleId="278">
    <w:name w:val="正文文本 + MS Mincho"/>
    <w:qFormat/>
    <w:uiPriority w:val="0"/>
    <w:rPr>
      <w:rFonts w:hint="eastAsia" w:ascii="MS Mincho" w:hAnsi="MS Mincho" w:eastAsia="MS Mincho" w:cs="MS Mincho"/>
      <w:b/>
      <w:bCs/>
      <w:color w:val="000000"/>
      <w:spacing w:val="0"/>
      <w:w w:val="100"/>
      <w:position w:val="0"/>
      <w:sz w:val="24"/>
      <w:szCs w:val="24"/>
      <w:u w:val="none"/>
      <w:lang w:val="en-US"/>
    </w:rPr>
  </w:style>
  <w:style w:type="character" w:customStyle="1" w:styleId="279">
    <w:name w:val="目录 (2) + 10.5 pt"/>
    <w:qFormat/>
    <w:uiPriority w:val="0"/>
    <w:rPr>
      <w:rFonts w:ascii="MingLiU" w:hAnsi="MingLiU" w:eastAsia="MingLiU" w:cs="MingLiU"/>
      <w:i/>
      <w:iCs/>
      <w:color w:val="000000"/>
      <w:spacing w:val="0"/>
      <w:w w:val="100"/>
      <w:position w:val="0"/>
      <w:sz w:val="21"/>
      <w:szCs w:val="21"/>
      <w:u w:val="none"/>
    </w:rPr>
  </w:style>
  <w:style w:type="paragraph" w:customStyle="1" w:styleId="280">
    <w:name w:val="正文1"/>
    <w:basedOn w:val="1"/>
    <w:link w:val="303"/>
    <w:qFormat/>
    <w:uiPriority w:val="0"/>
    <w:pPr>
      <w:spacing w:line="318" w:lineRule="atLeast"/>
      <w:ind w:left="369" w:firstLine="369" w:firstLineChars="200"/>
    </w:pPr>
    <w:rPr>
      <w:rFonts w:ascii="宋体" w:hAnsi="宋体"/>
      <w:szCs w:val="24"/>
    </w:rPr>
  </w:style>
  <w:style w:type="character" w:customStyle="1" w:styleId="281">
    <w:name w:val="cf01"/>
    <w:qFormat/>
    <w:uiPriority w:val="0"/>
    <w:rPr>
      <w:rFonts w:hint="eastAsia" w:ascii="Microsoft YaHei UI" w:hAnsi="Microsoft YaHei UI" w:eastAsia="Microsoft YaHei UI"/>
      <w:sz w:val="18"/>
      <w:szCs w:val="18"/>
    </w:rPr>
  </w:style>
  <w:style w:type="paragraph" w:customStyle="1" w:styleId="282">
    <w:name w:val="pf0"/>
    <w:basedOn w:val="1"/>
    <w:qFormat/>
    <w:uiPriority w:val="0"/>
    <w:pPr>
      <w:widowControl/>
      <w:spacing w:before="100" w:beforeAutospacing="1" w:after="100" w:afterAutospacing="1" w:line="240" w:lineRule="auto"/>
      <w:jc w:val="left"/>
    </w:pPr>
    <w:rPr>
      <w:rFonts w:ascii="宋体" w:hAnsi="宋体" w:cs="宋体"/>
      <w:kern w:val="0"/>
      <w:szCs w:val="24"/>
    </w:rPr>
  </w:style>
  <w:style w:type="character" w:customStyle="1" w:styleId="283">
    <w:name w:val="标题 4 字符1"/>
    <w:qFormat/>
    <w:uiPriority w:val="0"/>
    <w:rPr>
      <w:rFonts w:ascii="Cambria" w:hAnsi="Cambria" w:eastAsia="宋体" w:cs="Times New Roman"/>
      <w:b/>
      <w:bCs/>
      <w:sz w:val="28"/>
      <w:szCs w:val="28"/>
      <w:lang w:val="zh-CN" w:eastAsia="zh-CN"/>
    </w:rPr>
  </w:style>
  <w:style w:type="character" w:customStyle="1" w:styleId="284">
    <w:name w:val="普通(网站) Char"/>
    <w:link w:val="36"/>
    <w:qFormat/>
    <w:uiPriority w:val="99"/>
    <w:rPr>
      <w:rFonts w:ascii="宋体" w:hAnsi="宋体" w:cs="宋体"/>
      <w:sz w:val="24"/>
      <w:szCs w:val="24"/>
    </w:rPr>
  </w:style>
  <w:style w:type="paragraph" w:customStyle="1" w:styleId="285">
    <w:name w:val="Text 1"/>
    <w:basedOn w:val="1"/>
    <w:qFormat/>
    <w:uiPriority w:val="0"/>
    <w:pPr>
      <w:numPr>
        <w:ilvl w:val="0"/>
        <w:numId w:val="9"/>
      </w:numPr>
      <w:jc w:val="left"/>
    </w:pPr>
    <w:rPr>
      <w:rFonts w:ascii="Times New Roman" w:hAnsi="Times New Roman"/>
      <w:szCs w:val="21"/>
    </w:rPr>
  </w:style>
  <w:style w:type="character" w:customStyle="1" w:styleId="286">
    <w:name w:val="FC正文 Char"/>
    <w:link w:val="287"/>
    <w:qFormat/>
    <w:uiPriority w:val="0"/>
    <w:rPr>
      <w:sz w:val="24"/>
      <w:szCs w:val="28"/>
    </w:rPr>
  </w:style>
  <w:style w:type="paragraph" w:customStyle="1" w:styleId="287">
    <w:name w:val="FC正文"/>
    <w:basedOn w:val="1"/>
    <w:link w:val="286"/>
    <w:qFormat/>
    <w:uiPriority w:val="0"/>
    <w:pPr>
      <w:autoSpaceDE w:val="0"/>
      <w:autoSpaceDN w:val="0"/>
      <w:adjustRightInd w:val="0"/>
      <w:ind w:firstLine="200" w:firstLineChars="200"/>
    </w:pPr>
    <w:rPr>
      <w:rFonts w:ascii="Times New Roman" w:hAnsi="Times New Roman"/>
      <w:kern w:val="0"/>
      <w:szCs w:val="28"/>
    </w:rPr>
  </w:style>
  <w:style w:type="character" w:customStyle="1" w:styleId="288">
    <w:name w:val="font71"/>
    <w:basedOn w:val="47"/>
    <w:qFormat/>
    <w:uiPriority w:val="0"/>
    <w:rPr>
      <w:rFonts w:hint="eastAsia" w:ascii="宋体" w:hAnsi="宋体" w:eastAsia="宋体" w:cs="宋体"/>
      <w:color w:val="000000"/>
      <w:sz w:val="22"/>
      <w:szCs w:val="22"/>
      <w:u w:val="none"/>
    </w:rPr>
  </w:style>
  <w:style w:type="character" w:customStyle="1" w:styleId="289">
    <w:name w:val="font21"/>
    <w:basedOn w:val="47"/>
    <w:qFormat/>
    <w:uiPriority w:val="0"/>
    <w:rPr>
      <w:rFonts w:hint="default" w:ascii="Times New Roman" w:hAnsi="Times New Roman" w:cs="Times New Roman"/>
      <w:color w:val="000000"/>
      <w:sz w:val="22"/>
      <w:szCs w:val="22"/>
      <w:u w:val="none"/>
    </w:rPr>
  </w:style>
  <w:style w:type="character" w:customStyle="1" w:styleId="290">
    <w:name w:val="font11"/>
    <w:basedOn w:val="47"/>
    <w:qFormat/>
    <w:uiPriority w:val="0"/>
    <w:rPr>
      <w:rFonts w:hint="eastAsia" w:ascii="宋体" w:hAnsi="宋体" w:eastAsia="宋体" w:cs="宋体"/>
      <w:color w:val="000000"/>
      <w:sz w:val="24"/>
      <w:szCs w:val="24"/>
      <w:u w:val="none"/>
    </w:rPr>
  </w:style>
  <w:style w:type="paragraph" w:customStyle="1" w:styleId="291">
    <w:name w:val="图片格式"/>
    <w:basedOn w:val="1"/>
    <w:qFormat/>
    <w:uiPriority w:val="0"/>
    <w:pPr>
      <w:spacing w:line="240" w:lineRule="auto"/>
      <w:ind w:left="57"/>
      <w:jc w:val="center"/>
    </w:pPr>
    <w:rPr>
      <w:rFonts w:ascii="宋体" w:hAnsi="宋体"/>
      <w:szCs w:val="24"/>
      <w:lang w:val="zh-CN"/>
    </w:rPr>
  </w:style>
  <w:style w:type="paragraph" w:customStyle="1" w:styleId="292">
    <w:name w:val="1.1dieji"/>
    <w:basedOn w:val="70"/>
    <w:link w:val="293"/>
    <w:qFormat/>
    <w:uiPriority w:val="0"/>
    <w:pPr>
      <w:spacing w:before="280" w:after="280"/>
      <w:ind w:left="1320" w:firstLine="0" w:firstLineChars="0"/>
    </w:pPr>
    <w:rPr>
      <w:b/>
      <w:sz w:val="28"/>
      <w:szCs w:val="28"/>
    </w:rPr>
  </w:style>
  <w:style w:type="character" w:customStyle="1" w:styleId="293">
    <w:name w:val="1.1dieji 字符"/>
    <w:link w:val="292"/>
    <w:qFormat/>
    <w:uiPriority w:val="0"/>
    <w:rPr>
      <w:rFonts w:ascii="宋体" w:hAnsi="宋体"/>
      <w:b/>
      <w:kern w:val="2"/>
      <w:sz w:val="28"/>
      <w:szCs w:val="28"/>
    </w:rPr>
  </w:style>
  <w:style w:type="character" w:customStyle="1" w:styleId="294">
    <w:name w:val="样式1 字符"/>
    <w:basedOn w:val="293"/>
    <w:qFormat/>
    <w:uiPriority w:val="0"/>
    <w:rPr>
      <w:rFonts w:ascii="宋体" w:hAnsi="宋体"/>
      <w:color w:val="000000"/>
      <w:kern w:val="2"/>
      <w:sz w:val="28"/>
      <w:szCs w:val="22"/>
    </w:rPr>
  </w:style>
  <w:style w:type="paragraph" w:customStyle="1" w:styleId="295">
    <w:name w:val="三级不带标题"/>
    <w:basedOn w:val="1"/>
    <w:link w:val="296"/>
    <w:qFormat/>
    <w:uiPriority w:val="0"/>
    <w:pPr>
      <w:tabs>
        <w:tab w:val="left" w:pos="1843"/>
      </w:tabs>
      <w:spacing w:before="280" w:after="290" w:line="372" w:lineRule="auto"/>
      <w:ind w:left="1740" w:hanging="420"/>
    </w:pPr>
    <w:rPr>
      <w:rFonts w:ascii="Times New Roman" w:hAnsi="Times New Roman"/>
      <w:b/>
      <w:sz w:val="28"/>
      <w:szCs w:val="28"/>
    </w:rPr>
  </w:style>
  <w:style w:type="character" w:customStyle="1" w:styleId="296">
    <w:name w:val="三级不带标题 字符"/>
    <w:link w:val="295"/>
    <w:qFormat/>
    <w:uiPriority w:val="0"/>
    <w:rPr>
      <w:b/>
      <w:kern w:val="2"/>
      <w:sz w:val="28"/>
      <w:szCs w:val="28"/>
    </w:rPr>
  </w:style>
  <w:style w:type="character" w:customStyle="1" w:styleId="297">
    <w:name w:val="列出段落 Char"/>
    <w:qFormat/>
    <w:locked/>
    <w:uiPriority w:val="34"/>
    <w:rPr>
      <w:rFonts w:ascii="Calibri" w:hAnsi="Calibri"/>
      <w:kern w:val="2"/>
      <w:sz w:val="21"/>
    </w:rPr>
  </w:style>
  <w:style w:type="paragraph" w:customStyle="1" w:styleId="298">
    <w:name w:val="标题3"/>
    <w:basedOn w:val="5"/>
    <w:link w:val="299"/>
    <w:qFormat/>
    <w:uiPriority w:val="0"/>
    <w:pPr>
      <w:widowControl/>
      <w:numPr>
        <w:ilvl w:val="0"/>
        <w:numId w:val="0"/>
      </w:numPr>
      <w:spacing w:before="260" w:after="260"/>
      <w:ind w:left="100" w:right="210" w:rightChars="100"/>
    </w:pPr>
    <w:rPr>
      <w:rFonts w:ascii="宋体" w:hAnsi="宋体" w:eastAsia="宋体"/>
      <w:color w:val="4F81BD"/>
      <w:kern w:val="0"/>
      <w:sz w:val="24"/>
    </w:rPr>
  </w:style>
  <w:style w:type="character" w:customStyle="1" w:styleId="299">
    <w:name w:val="标题3 Char"/>
    <w:basedOn w:val="47"/>
    <w:link w:val="298"/>
    <w:qFormat/>
    <w:uiPriority w:val="0"/>
    <w:rPr>
      <w:rFonts w:ascii="宋体" w:hAnsi="宋体"/>
      <w:b/>
      <w:bCs/>
      <w:color w:val="4F81BD"/>
      <w:sz w:val="24"/>
      <w:szCs w:val="32"/>
    </w:rPr>
  </w:style>
  <w:style w:type="paragraph" w:customStyle="1" w:styleId="300">
    <w:name w:val="Text"/>
    <w:basedOn w:val="1"/>
    <w:qFormat/>
    <w:uiPriority w:val="0"/>
    <w:pPr>
      <w:ind w:firstLine="200" w:firstLineChars="200"/>
    </w:pPr>
    <w:rPr>
      <w:rFonts w:ascii="Times New Roman" w:hAnsi="Times New Roman"/>
      <w:szCs w:val="24"/>
    </w:rPr>
  </w:style>
  <w:style w:type="paragraph" w:customStyle="1" w:styleId="301">
    <w:name w:val="首行缩进"/>
    <w:basedOn w:val="1"/>
    <w:qFormat/>
    <w:uiPriority w:val="0"/>
    <w:pPr>
      <w:spacing w:line="240" w:lineRule="auto"/>
      <w:ind w:firstLine="480" w:firstLineChars="200"/>
    </w:pPr>
    <w:rPr>
      <w:rFonts w:ascii="Times New Roman" w:hAnsi="Times New Roman"/>
      <w:kern w:val="0"/>
      <w:sz w:val="21"/>
      <w:szCs w:val="20"/>
      <w:lang w:val="zh-CN"/>
    </w:rPr>
  </w:style>
  <w:style w:type="character" w:customStyle="1" w:styleId="302">
    <w:name w:val="副标题 Char"/>
    <w:basedOn w:val="47"/>
    <w:link w:val="32"/>
    <w:qFormat/>
    <w:uiPriority w:val="11"/>
    <w:rPr>
      <w:rFonts w:eastAsia="楷体"/>
      <w:b/>
      <w:bCs/>
      <w:kern w:val="28"/>
      <w:sz w:val="32"/>
      <w:szCs w:val="32"/>
    </w:rPr>
  </w:style>
  <w:style w:type="character" w:customStyle="1" w:styleId="303">
    <w:name w:val="正文1 字符"/>
    <w:link w:val="280"/>
    <w:qFormat/>
    <w:locked/>
    <w:uiPriority w:val="0"/>
    <w:rPr>
      <w:rFonts w:ascii="宋体" w:hAnsi="宋体"/>
      <w:kern w:val="2"/>
      <w:sz w:val="24"/>
      <w:szCs w:val="24"/>
    </w:rPr>
  </w:style>
  <w:style w:type="paragraph" w:customStyle="1" w:styleId="304">
    <w:name w:val="列表段落1"/>
    <w:basedOn w:val="1"/>
    <w:qFormat/>
    <w:uiPriority w:val="34"/>
    <w:pPr>
      <w:spacing w:line="240" w:lineRule="auto"/>
      <w:ind w:firstLine="420" w:firstLineChars="200"/>
    </w:pPr>
    <w:rPr>
      <w:sz w:val="21"/>
      <w:szCs w:val="21"/>
    </w:rPr>
  </w:style>
  <w:style w:type="character" w:customStyle="1" w:styleId="305">
    <w:name w:val="font61"/>
    <w:basedOn w:val="47"/>
    <w:qFormat/>
    <w:uiPriority w:val="0"/>
    <w:rPr>
      <w:rFonts w:hint="eastAsia" w:ascii="宋体" w:hAnsi="宋体" w:eastAsia="宋体" w:cs="宋体"/>
      <w:b/>
      <w:bCs/>
      <w:color w:val="FF0000"/>
      <w:sz w:val="22"/>
      <w:szCs w:val="22"/>
      <w:u w:val="none"/>
    </w:rPr>
  </w:style>
  <w:style w:type="paragraph" w:customStyle="1" w:styleId="306">
    <w:name w:val="Table Text"/>
    <w:basedOn w:val="1"/>
    <w:semiHidden/>
    <w:qFormat/>
    <w:uiPriority w:val="0"/>
    <w:rPr>
      <w:rFonts w:ascii="Arial" w:hAnsi="Arial" w:eastAsia="Arial" w:cs="Arial"/>
      <w:sz w:val="21"/>
      <w:szCs w:val="21"/>
      <w:lang w:eastAsia="en-US"/>
    </w:rPr>
  </w:style>
  <w:style w:type="character" w:customStyle="1" w:styleId="307">
    <w:name w:val="font16"/>
    <w:basedOn w:val="47"/>
    <w:qFormat/>
    <w:uiPriority w:val="0"/>
    <w:rPr>
      <w:rFonts w:hint="eastAsia" w:ascii="宋体" w:hAnsi="宋体" w:eastAsia="宋体" w:cs="宋体"/>
      <w:color w:val="000000"/>
      <w:sz w:val="22"/>
      <w:szCs w:val="22"/>
      <w:u w:val="none"/>
    </w:rPr>
  </w:style>
  <w:style w:type="character" w:customStyle="1" w:styleId="308">
    <w:name w:val="font01"/>
    <w:basedOn w:val="47"/>
    <w:qFormat/>
    <w:uiPriority w:val="0"/>
    <w:rPr>
      <w:rFonts w:hint="eastAsia" w:ascii="宋体" w:hAnsi="宋体" w:eastAsia="宋体" w:cs="宋体"/>
      <w:color w:val="000000"/>
      <w:sz w:val="22"/>
      <w:szCs w:val="22"/>
      <w:u w:val="none"/>
    </w:rPr>
  </w:style>
  <w:style w:type="character" w:customStyle="1" w:styleId="309">
    <w:name w:val="font91"/>
    <w:basedOn w:val="47"/>
    <w:qFormat/>
    <w:uiPriority w:val="0"/>
    <w:rPr>
      <w:rFonts w:hint="eastAsia" w:ascii="宋体" w:hAnsi="宋体" w:eastAsia="宋体" w:cs="宋体"/>
      <w:color w:val="000000"/>
      <w:sz w:val="22"/>
      <w:szCs w:val="22"/>
      <w:u w:val="none"/>
    </w:rPr>
  </w:style>
  <w:style w:type="character" w:customStyle="1" w:styleId="310">
    <w:name w:val="font131"/>
    <w:basedOn w:val="47"/>
    <w:qFormat/>
    <w:uiPriority w:val="0"/>
    <w:rPr>
      <w:rFonts w:hint="eastAsia" w:ascii="宋体" w:hAnsi="宋体" w:eastAsia="宋体" w:cs="宋体"/>
      <w:color w:val="00B050"/>
      <w:sz w:val="22"/>
      <w:szCs w:val="22"/>
      <w:u w:val="none"/>
    </w:rPr>
  </w:style>
  <w:style w:type="character" w:customStyle="1" w:styleId="311">
    <w:name w:val="font111"/>
    <w:basedOn w:val="47"/>
    <w:qFormat/>
    <w:uiPriority w:val="0"/>
    <w:rPr>
      <w:rFonts w:hint="eastAsia" w:ascii="宋体" w:hAnsi="宋体" w:eastAsia="宋体" w:cs="宋体"/>
      <w:color w:val="000000"/>
      <w:sz w:val="22"/>
      <w:szCs w:val="22"/>
      <w:u w:val="none"/>
    </w:rPr>
  </w:style>
  <w:style w:type="character" w:customStyle="1" w:styleId="312">
    <w:name w:val="font141"/>
    <w:basedOn w:val="47"/>
    <w:qFormat/>
    <w:uiPriority w:val="0"/>
    <w:rPr>
      <w:rFonts w:hint="eastAsia" w:ascii="宋体" w:hAnsi="宋体" w:eastAsia="宋体" w:cs="宋体"/>
      <w:color w:val="FF0000"/>
      <w:sz w:val="22"/>
      <w:szCs w:val="22"/>
      <w:u w:val="none"/>
    </w:rPr>
  </w:style>
  <w:style w:type="character" w:customStyle="1" w:styleId="313">
    <w:name w:val="font151"/>
    <w:basedOn w:val="47"/>
    <w:qFormat/>
    <w:uiPriority w:val="0"/>
    <w:rPr>
      <w:rFonts w:hint="eastAsia" w:ascii="宋体" w:hAnsi="宋体" w:eastAsia="宋体" w:cs="宋体"/>
      <w:color w:val="FF0000"/>
      <w:sz w:val="22"/>
      <w:szCs w:val="22"/>
      <w:u w:val="none"/>
    </w:rPr>
  </w:style>
  <w:style w:type="character" w:customStyle="1" w:styleId="314">
    <w:name w:val="font101"/>
    <w:basedOn w:val="47"/>
    <w:qFormat/>
    <w:uiPriority w:val="0"/>
    <w:rPr>
      <w:rFonts w:hint="eastAsia" w:ascii="宋体" w:hAnsi="宋体" w:eastAsia="宋体" w:cs="宋体"/>
      <w:color w:val="00B05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2.jpeg"/><Relationship Id="rId10" Type="http://schemas.openxmlformats.org/officeDocument/2006/relationships/image" Target="media/image1.jpe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8504;&#28504;\Desktop\2016.06.17--&#26234;&#19994;&#25237;&#26631;&#25991;&#20214;&#27169;&#26495;V1.0%2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F56DD6-F158-44E6-AB26-067C821340DA}">
  <ds:schemaRefs/>
</ds:datastoreItem>
</file>

<file path=docProps/app.xml><?xml version="1.0" encoding="utf-8"?>
<Properties xmlns="http://schemas.openxmlformats.org/officeDocument/2006/extended-properties" xmlns:vt="http://schemas.openxmlformats.org/officeDocument/2006/docPropsVTypes">
  <Template>2016.06.17--智业投标文件模板V1.0 </Template>
  <Company>MS</Company>
  <Pages>268</Pages>
  <Words>9667</Words>
  <Characters>9830</Characters>
  <Lines>1199</Lines>
  <Paragraphs>337</Paragraphs>
  <TotalTime>43</TotalTime>
  <ScaleCrop>false</ScaleCrop>
  <LinksUpToDate>false</LinksUpToDate>
  <CharactersWithSpaces>9866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2025-10-11T09:31:00Z</dcterms:created>
  <dc:creator>xb21cn</dc:creator>
  <cp:lastModifiedBy>企业用户_1548469901</cp:lastModifiedBy>
  <cp:lastPrinted>2025-10-11T09:40:00Z</cp:lastPrinted>
  <dcterms:modified xsi:type="dcterms:W3CDTF">2025-10-25T10:00:27Z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EFE7A42C25074BAAAC277B58C6CF662F_13</vt:lpwstr>
  </property>
  <property fmtid="{D5CDD505-2E9C-101B-9397-08002B2CF9AE}" pid="4" name="KSOTemplateDocerSaveRecord">
    <vt:lpwstr>eyJoZGlkIjoiOWQyYjlmNzM4Nzk4OWIzYjM2YTM1MWRjM2NiNDBjMjkiLCJ1c2VySWQiOiIxNTY1ODY0MDM4In0=</vt:lpwstr>
  </property>
</Properties>
</file>